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Consolas" w:hAnsi="Consolas"/>
          <w:color w:val="000000"/>
          <w:sz w:val="56"/>
        </w:rPr>
      </w:pPr>
      <w:r>
        <w:rPr>
          <w:rFonts w:ascii="Consolas" w:hAnsi="Consolas"/>
          <w:color w:val="000000"/>
          <w:sz w:val="56"/>
        </w:rPr>
        <w:t>PERCYs (v3.7, compact) — pricing persuasion and communication grants</w:t>
      </w:r>
    </w:p>
    <w:p>
      <w:pPr>
        <w:pStyle w:val="Normal"/>
        <w:bidi w:val="0"/>
        <w:jc w:val="left"/>
        <w:rPr>
          <w:rFonts w:ascii="Consolas" w:hAnsi="Consolas"/>
          <w:color w:val="000000"/>
          <w:sz w:val="22"/>
        </w:rPr>
      </w:pPr>
      <w:r>
        <w:rPr>
          <w:rFonts w:ascii="Consolas" w:hAnsi="Consolas"/>
          <w:b/>
          <w:color w:val="000000"/>
          <w:sz w:val="22"/>
        </w:rPr>
        <w:t>Unit.</w:t>
      </w:r>
      <w:r>
        <w:rPr>
          <w:rFonts w:ascii="Consolas" w:hAnsi="Consolas"/>
          <w:color w:val="000000"/>
          <w:sz w:val="22"/>
        </w:rPr>
        <w:t xml:space="preserve"> 1 PERCY = one average US adult moved one full unit higher on a −1 to +1 AI-risk opinion scale, held for one year, quality-weighted.</w:t>
        <w:br/>
      </w:r>
      <w:r>
        <w:rPr>
          <w:rFonts w:ascii="Consolas" w:hAnsi="Consolas"/>
          <w:b/>
          <w:color w:val="000000"/>
          <w:sz w:val="22"/>
        </w:rPr>
        <w:t>Conversions.</w:t>
      </w:r>
      <w:r>
        <w:rPr>
          <w:rFonts w:ascii="Consolas" w:hAnsi="Consolas"/>
          <w:color w:val="000000"/>
          <w:sz w:val="22"/>
        </w:rPr>
        <w:t xml:space="preserve"> 1,000,000 PERCYs = 1,200 utility points (from the milestone weights list). About 1.5M PERCYs ≈ 1 percentage point of US public opinion (sanity check only).</w:t>
      </w:r>
    </w:p>
    <w:p>
      <w:pPr>
        <w:pStyle w:val="Normal"/>
        <w:bidi w:val="0"/>
        <w:jc w:val="left"/>
        <w:rPr>
          <w:rFonts w:ascii="Consolas" w:hAnsi="Consolas"/>
          <w:color w:val="000000"/>
          <w:sz w:val="50"/>
        </w:rPr>
      </w:pPr>
      <w:r>
        <w:rPr>
          <w:rFonts w:ascii="Consolas" w:hAnsi="Consolas"/>
          <w:color w:val="000000"/>
          <w:sz w:val="50"/>
        </w:rPr>
        <w:t>1. The formula</w:t>
      </w:r>
    </w:p>
    <w:p>
      <w:pPr>
        <w:pStyle w:val="Normal"/>
        <w:bidi w:val="0"/>
        <w:jc w:val="left"/>
        <w:rPr>
          <w:rFonts w:ascii="Consolas" w:hAnsi="Consolas"/>
          <w:color w:val="000000"/>
          <w:sz w:val="22"/>
        </w:rPr>
      </w:pPr>
      <w:r>
        <w:rPr>
          <w:rFonts w:ascii="Consolas" w:hAnsi="Consolas"/>
          <w:color w:val="000000"/>
          <w:sz w:val="22"/>
        </w:rPr>
        <w:t>A grant's value is the sum of its rows. Each row is one audience.</w:t>
      </w:r>
    </w:p>
    <w:p>
      <w:pPr>
        <w:pStyle w:val="Normal"/>
        <w:bidi w:val="0"/>
        <w:jc w:val="left"/>
        <w:rPr>
          <w:rFonts w:ascii="Consolas" w:hAnsi="Consolas"/>
          <w:color w:val="000000"/>
          <w:sz w:val="22"/>
        </w:rPr>
      </w:pPr>
      <w:r>
        <w:rPr>
          <w:rFonts w:ascii="Consolas" w:hAnsi="Consolas"/>
          <w:b/>
          <w:color w:val="000000"/>
          <w:sz w:val="22"/>
        </w:rPr>
        <w:t>Field row (F):</w:t>
      </w:r>
      <w:r>
        <w:rPr>
          <w:rFonts w:ascii="Consolas" w:hAnsi="Consolas"/>
          <w:color w:val="000000"/>
          <w:sz w:val="22"/>
        </w:rPr>
        <w:t xml:space="preserve"> `PERCYs = N × Q × Δ × Y × cf`</w:t>
      </w:r>
    </w:p>
    <w:tbl>
      <w:tblPr>
        <w:tblW w:w="24150" w:type="dxa"/>
        <w:jc w:val="left"/>
        <w:tblInd w:w="180" w:type="dxa"/>
        <w:tblLayout w:type="fixed"/>
        <w:tblCellMar>
          <w:top w:w="0" w:type="dxa"/>
          <w:left w:w="180" w:type="dxa"/>
          <w:bottom w:w="0" w:type="dxa"/>
          <w:right w:w="180" w:type="dxa"/>
        </w:tblCellMar>
      </w:tblPr>
      <w:tblGrid>
        <w:gridCol w:w="12075"/>
        <w:gridCol w:w="12075"/>
      </w:tblGrid>
      <w:tr>
        <w:trPr>
          <w:trHeight w:val="600" w:hRule="atLeast"/>
        </w:trPr>
        <w:tc>
          <w:tcPr>
            <w:tcW w:w="12075" w:type="dxa"/>
            <w:tcBorders/>
            <w:vAlign w:val="center"/>
          </w:tcPr>
          <w:p>
            <w:pPr>
              <w:pStyle w:val="Normal"/>
              <w:tabs>
                <w:tab w:val="clear" w:pos="709"/>
              </w:tabs>
              <w:bidi w:val="0"/>
              <w:jc w:val="left"/>
              <w:rPr/>
            </w:pPr>
            <w:r>
              <w:rPr>
                <w:rFonts w:ascii="Consolas" w:hAnsi="Consolas"/>
                <w:color w:val="000000"/>
                <w:sz w:val="22"/>
              </w:rPr>
              <w:t>Term</w:t>
            </w:r>
          </w:p>
        </w:tc>
        <w:tc>
          <w:tcPr>
            <w:tcW w:w="12075" w:type="dxa"/>
            <w:tcBorders/>
            <w:vAlign w:val="center"/>
          </w:tcPr>
          <w:p>
            <w:pPr>
              <w:pStyle w:val="Normal"/>
              <w:tabs>
                <w:tab w:val="clear" w:pos="709"/>
              </w:tabs>
              <w:bidi w:val="0"/>
              <w:jc w:val="left"/>
              <w:rPr/>
            </w:pPr>
            <w:r>
              <w:rPr>
                <w:rFonts w:ascii="Consolas" w:hAnsi="Consolas"/>
                <w:color w:val="000000"/>
                <w:sz w:val="22"/>
              </w:rPr>
              <w:t>Meaning</w:t>
            </w:r>
          </w:p>
        </w:tc>
      </w:tr>
      <w:tr>
        <w:trPr>
          <w:trHeight w:val="600" w:hRule="atLeast"/>
        </w:trPr>
        <w:tc>
          <w:tcPr>
            <w:tcW w:w="12075" w:type="dxa"/>
            <w:tcBorders/>
            <w:vAlign w:val="center"/>
          </w:tcPr>
          <w:p>
            <w:pPr>
              <w:pStyle w:val="Normal"/>
              <w:tabs>
                <w:tab w:val="clear" w:pos="709"/>
              </w:tabs>
              <w:bidi w:val="0"/>
              <w:jc w:val="left"/>
              <w:rPr/>
            </w:pPr>
            <w:r>
              <w:rPr>
                <w:rFonts w:ascii="Consolas" w:hAnsi="Consolas"/>
                <w:color w:val="000000"/>
                <w:sz w:val="22"/>
              </w:rPr>
              <w:t>N</w:t>
            </w:r>
          </w:p>
        </w:tc>
        <w:tc>
          <w:tcPr>
            <w:tcW w:w="12075" w:type="dxa"/>
            <w:tcBorders/>
            <w:vAlign w:val="center"/>
          </w:tcPr>
          <w:p>
            <w:pPr>
              <w:pStyle w:val="Normal"/>
              <w:tabs>
                <w:tab w:val="clear" w:pos="709"/>
              </w:tabs>
              <w:bidi w:val="0"/>
              <w:jc w:val="left"/>
              <w:rPr/>
            </w:pPr>
            <w:r>
              <w:rPr>
                <w:rFonts w:ascii="Consolas" w:hAnsi="Consolas"/>
                <w:b/>
                <w:color w:val="000000"/>
                <w:sz w:val="22"/>
              </w:rPr>
              <w:t>Unique people</w:t>
            </w:r>
            <w:r>
              <w:rPr>
                <w:rFonts w:ascii="Consolas" w:hAnsi="Consolas"/>
                <w:color w:val="000000"/>
                <w:sz w:val="22"/>
              </w:rPr>
              <w:t xml:space="preserve"> reached in the period (never views, downloads or impressions) × the grant's owned fraction of that reach</w:t>
            </w:r>
          </w:p>
        </w:tc>
      </w:tr>
      <w:tr>
        <w:trPr>
          <w:trHeight w:val="600" w:hRule="atLeast"/>
        </w:trPr>
        <w:tc>
          <w:tcPr>
            <w:tcW w:w="12075" w:type="dxa"/>
            <w:tcBorders/>
            <w:vAlign w:val="center"/>
          </w:tcPr>
          <w:p>
            <w:pPr>
              <w:pStyle w:val="Normal"/>
              <w:tabs>
                <w:tab w:val="clear" w:pos="709"/>
              </w:tabs>
              <w:bidi w:val="0"/>
              <w:jc w:val="left"/>
              <w:rPr/>
            </w:pPr>
            <w:r>
              <w:rPr>
                <w:rFonts w:ascii="Consolas" w:hAnsi="Consolas"/>
                <w:color w:val="000000"/>
                <w:sz w:val="22"/>
              </w:rPr>
              <w:t>Q</w:t>
            </w:r>
          </w:p>
        </w:tc>
        <w:tc>
          <w:tcPr>
            <w:tcW w:w="12075" w:type="dxa"/>
            <w:tcBorders/>
            <w:vAlign w:val="center"/>
          </w:tcPr>
          <w:p>
            <w:pPr>
              <w:pStyle w:val="Normal"/>
              <w:tabs>
                <w:tab w:val="clear" w:pos="709"/>
              </w:tabs>
              <w:bidi w:val="0"/>
              <w:jc w:val="left"/>
              <w:rPr/>
            </w:pPr>
            <w:r>
              <w:rPr>
                <w:rFonts w:ascii="Consolas" w:hAnsi="Consolas"/>
                <w:color w:val="000000"/>
                <w:sz w:val="22"/>
              </w:rPr>
              <w:t xml:space="preserve">Quality bin of the </w:t>
            </w:r>
            <w:r>
              <w:rPr>
                <w:rFonts w:ascii="Consolas" w:hAnsi="Consolas"/>
                <w:i/>
                <w:color w:val="000000"/>
                <w:sz w:val="22"/>
              </w:rPr>
              <w:t>typical</w:t>
            </w:r>
            <w:r>
              <w:rPr>
                <w:rFonts w:ascii="Consolas" w:hAnsi="Consolas"/>
                <w:color w:val="000000"/>
                <w:sz w:val="22"/>
              </w:rPr>
              <w:t xml:space="preserve"> member (table below)</w:t>
            </w:r>
          </w:p>
        </w:tc>
      </w:tr>
      <w:tr>
        <w:trPr>
          <w:trHeight w:val="600" w:hRule="atLeast"/>
        </w:trPr>
        <w:tc>
          <w:tcPr>
            <w:tcW w:w="12075" w:type="dxa"/>
            <w:tcBorders/>
            <w:vAlign w:val="center"/>
          </w:tcPr>
          <w:p>
            <w:pPr>
              <w:pStyle w:val="Normal"/>
              <w:tabs>
                <w:tab w:val="clear" w:pos="709"/>
              </w:tabs>
              <w:bidi w:val="0"/>
              <w:jc w:val="left"/>
              <w:rPr/>
            </w:pPr>
            <w:r>
              <w:rPr>
                <w:rFonts w:ascii="Consolas" w:hAnsi="Consolas"/>
                <w:color w:val="000000"/>
                <w:sz w:val="22"/>
              </w:rPr>
              <w:t>Δ</w:t>
            </w:r>
          </w:p>
        </w:tc>
        <w:tc>
          <w:tcPr>
            <w:tcW w:w="12075" w:type="dxa"/>
            <w:tcBorders/>
            <w:vAlign w:val="center"/>
          </w:tcPr>
          <w:p>
            <w:pPr>
              <w:pStyle w:val="Normal"/>
              <w:tabs>
                <w:tab w:val="clear" w:pos="709"/>
              </w:tabs>
              <w:bidi w:val="0"/>
              <w:jc w:val="left"/>
              <w:rPr/>
            </w:pPr>
            <w:r>
              <w:rPr>
                <w:rFonts w:ascii="Consolas" w:hAnsi="Consolas"/>
                <w:color w:val="000000"/>
                <w:sz w:val="22"/>
              </w:rPr>
              <w:t>Average opinion shift per person reached, including those who don't move; may be negative</w:t>
            </w:r>
          </w:p>
        </w:tc>
      </w:tr>
      <w:tr>
        <w:trPr>
          <w:trHeight w:val="600" w:hRule="atLeast"/>
        </w:trPr>
        <w:tc>
          <w:tcPr>
            <w:tcW w:w="12075" w:type="dxa"/>
            <w:tcBorders/>
            <w:vAlign w:val="center"/>
          </w:tcPr>
          <w:p>
            <w:pPr>
              <w:pStyle w:val="Normal"/>
              <w:tabs>
                <w:tab w:val="clear" w:pos="709"/>
              </w:tabs>
              <w:bidi w:val="0"/>
              <w:jc w:val="left"/>
              <w:rPr/>
            </w:pPr>
            <w:r>
              <w:rPr>
                <w:rFonts w:ascii="Consolas" w:hAnsi="Consolas"/>
                <w:color w:val="000000"/>
                <w:sz w:val="22"/>
              </w:rPr>
              <w:t>Y</w:t>
            </w:r>
          </w:p>
        </w:tc>
        <w:tc>
          <w:tcPr>
            <w:tcW w:w="12075" w:type="dxa"/>
            <w:tcBorders/>
            <w:vAlign w:val="center"/>
          </w:tcPr>
          <w:p>
            <w:pPr>
              <w:pStyle w:val="Normal"/>
              <w:tabs>
                <w:tab w:val="clear" w:pos="709"/>
              </w:tabs>
              <w:bidi w:val="0"/>
              <w:jc w:val="left"/>
              <w:rPr/>
            </w:pPr>
            <w:r>
              <w:rPr>
                <w:rFonts w:ascii="Consolas" w:hAnsi="Consolas"/>
                <w:color w:val="000000"/>
                <w:sz w:val="22"/>
              </w:rPr>
              <w:t>Years-equivalent of persistence, fixed by exposure class (table below)</w:t>
            </w:r>
          </w:p>
        </w:tc>
      </w:tr>
      <w:tr>
        <w:trPr>
          <w:trHeight w:val="600" w:hRule="atLeast"/>
        </w:trPr>
        <w:tc>
          <w:tcPr>
            <w:tcW w:w="12075" w:type="dxa"/>
            <w:tcBorders/>
            <w:vAlign w:val="center"/>
          </w:tcPr>
          <w:p>
            <w:pPr>
              <w:pStyle w:val="Normal"/>
              <w:tabs>
                <w:tab w:val="clear" w:pos="709"/>
              </w:tabs>
              <w:bidi w:val="0"/>
              <w:jc w:val="left"/>
              <w:rPr/>
            </w:pPr>
            <w:r>
              <w:rPr>
                <w:rFonts w:ascii="Consolas" w:hAnsi="Consolas"/>
                <w:color w:val="000000"/>
                <w:sz w:val="22"/>
              </w:rPr>
              <w:t>cf</w:t>
            </w:r>
          </w:p>
        </w:tc>
        <w:tc>
          <w:tcPr>
            <w:tcW w:w="12075" w:type="dxa"/>
            <w:tcBorders/>
            <w:vAlign w:val="center"/>
          </w:tcPr>
          <w:p>
            <w:pPr>
              <w:pStyle w:val="Normal"/>
              <w:tabs>
                <w:tab w:val="clear" w:pos="709"/>
              </w:tabs>
              <w:bidi w:val="0"/>
              <w:jc w:val="left"/>
              <w:rPr/>
            </w:pPr>
            <w:r>
              <w:rPr>
                <w:rFonts w:ascii="Consolas" w:hAnsi="Consolas"/>
                <w:color w:val="000000"/>
                <w:sz w:val="22"/>
              </w:rPr>
              <w:t>Probability the activity would not happen without the grant (×gate probability if delivery is uncertain)</w:t>
            </w:r>
          </w:p>
        </w:tc>
      </w:tr>
    </w:tbl>
    <w:p>
      <w:pPr>
        <w:pStyle w:val="Normal"/>
        <w:bidi w:val="0"/>
        <w:jc w:val="left"/>
        <w:rPr>
          <w:rFonts w:ascii="Consolas" w:hAnsi="Consolas"/>
          <w:color w:val="000000"/>
          <w:sz w:val="22"/>
        </w:rPr>
      </w:pPr>
      <w:r>
        <w:rPr>
          <w:rFonts w:ascii="Consolas" w:hAnsi="Consolas"/>
          <w:b/>
          <w:color w:val="000000"/>
          <w:sz w:val="22"/>
        </w:rPr>
        <w:t>Quality bins (Q).</w:t>
      </w:r>
      <w:r>
        <w:rPr>
          <w:rFonts w:ascii="Consolas" w:hAnsi="Consolas"/>
          <w:color w:val="000000"/>
          <w:sz w:val="22"/>
        </w:rPr>
        <w:t xml:space="preserve"> Bin the typical member, never the best one.</w:t>
      </w:r>
    </w:p>
    <w:tbl>
      <w:tblPr>
        <w:tblW w:w="24148" w:type="dxa"/>
        <w:jc w:val="left"/>
        <w:tblInd w:w="180" w:type="dxa"/>
        <w:tblLayout w:type="fixed"/>
        <w:tblCellMar>
          <w:top w:w="0" w:type="dxa"/>
          <w:left w:w="180" w:type="dxa"/>
          <w:bottom w:w="0" w:type="dxa"/>
          <w:right w:w="180" w:type="dxa"/>
        </w:tblCellMar>
      </w:tblPr>
      <w:tblGrid>
        <w:gridCol w:w="6037"/>
        <w:gridCol w:w="6037"/>
        <w:gridCol w:w="6037"/>
        <w:gridCol w:w="6037"/>
      </w:tblGrid>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Bin</w:t>
            </w:r>
          </w:p>
        </w:tc>
        <w:tc>
          <w:tcPr>
            <w:tcW w:w="6037" w:type="dxa"/>
            <w:tcBorders/>
            <w:vAlign w:val="center"/>
          </w:tcPr>
          <w:p>
            <w:pPr>
              <w:pStyle w:val="Normal"/>
              <w:tabs>
                <w:tab w:val="clear" w:pos="709"/>
              </w:tabs>
              <w:bidi w:val="0"/>
              <w:jc w:val="left"/>
              <w:rPr/>
            </w:pPr>
            <w:r>
              <w:rPr>
                <w:rFonts w:ascii="Consolas" w:hAnsi="Consolas"/>
                <w:color w:val="000000"/>
                <w:sz w:val="22"/>
              </w:rPr>
              <w:t>Q</w:t>
            </w:r>
          </w:p>
        </w:tc>
        <w:tc>
          <w:tcPr>
            <w:tcW w:w="6037" w:type="dxa"/>
            <w:tcBorders/>
            <w:vAlign w:val="center"/>
          </w:tcPr>
          <w:p>
            <w:pPr>
              <w:pStyle w:val="Normal"/>
              <w:tabs>
                <w:tab w:val="clear" w:pos="709"/>
              </w:tabs>
              <w:bidi w:val="0"/>
              <w:jc w:val="left"/>
              <w:rPr/>
            </w:pPr>
            <w:r>
              <w:rPr>
                <w:rFonts w:ascii="Consolas" w:hAnsi="Consolas"/>
                <w:color w:val="000000"/>
                <w:sz w:val="22"/>
              </w:rPr>
              <w:t>Typical member</w:t>
            </w:r>
          </w:p>
        </w:tc>
        <w:tc>
          <w:tcPr>
            <w:tcW w:w="6037" w:type="dxa"/>
            <w:tcBorders/>
            <w:vAlign w:val="center"/>
          </w:tcPr>
          <w:p>
            <w:pPr>
              <w:pStyle w:val="Normal"/>
              <w:tabs>
                <w:tab w:val="clear" w:pos="709"/>
              </w:tabs>
              <w:bidi w:val="0"/>
              <w:jc w:val="left"/>
              <w:rPr/>
            </w:pPr>
            <w:r>
              <w:rPr>
                <w:rFonts w:ascii="Consolas" w:hAnsi="Consolas"/>
                <w:color w:val="000000"/>
                <w:sz w:val="22"/>
              </w:rPr>
              <w:t>Examples</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General</w:t>
            </w:r>
          </w:p>
        </w:tc>
        <w:tc>
          <w:tcPr>
            <w:tcW w:w="6037" w:type="dxa"/>
            <w:tcBorders/>
            <w:vAlign w:val="center"/>
          </w:tcPr>
          <w:p>
            <w:pPr>
              <w:pStyle w:val="Normal"/>
              <w:tabs>
                <w:tab w:val="clear" w:pos="709"/>
              </w:tabs>
              <w:bidi w:val="0"/>
              <w:jc w:val="left"/>
              <w:rPr/>
            </w:pPr>
            <w:r>
              <w:rPr>
                <w:rFonts w:ascii="Consolas" w:hAnsi="Consolas"/>
                <w:color w:val="000000"/>
                <w:sz w:val="22"/>
              </w:rPr>
              <w:t>1</w:t>
            </w:r>
          </w:p>
        </w:tc>
        <w:tc>
          <w:tcPr>
            <w:tcW w:w="6037" w:type="dxa"/>
            <w:tcBorders/>
            <w:vAlign w:val="center"/>
          </w:tcPr>
          <w:p>
            <w:pPr>
              <w:pStyle w:val="Normal"/>
              <w:tabs>
                <w:tab w:val="clear" w:pos="709"/>
              </w:tabs>
              <w:bidi w:val="0"/>
              <w:jc w:val="left"/>
              <w:rPr/>
            </w:pPr>
            <w:r>
              <w:rPr>
                <w:rFonts w:ascii="Consolas" w:hAnsi="Consolas"/>
                <w:color w:val="000000"/>
                <w:sz w:val="22"/>
              </w:rPr>
              <w:t>Met it in a feed; wouldn't seek it out</w:t>
            </w:r>
          </w:p>
        </w:tc>
        <w:tc>
          <w:tcPr>
            <w:tcW w:w="6037" w:type="dxa"/>
            <w:tcBorders/>
            <w:vAlign w:val="center"/>
          </w:tcPr>
          <w:p>
            <w:pPr>
              <w:pStyle w:val="Normal"/>
              <w:tabs>
                <w:tab w:val="clear" w:pos="709"/>
              </w:tabs>
              <w:bidi w:val="0"/>
              <w:jc w:val="left"/>
              <w:rPr/>
            </w:pPr>
            <w:r>
              <w:rPr>
                <w:rFonts w:ascii="Consolas" w:hAnsi="Consolas"/>
                <w:color w:val="000000"/>
                <w:sz w:val="22"/>
              </w:rPr>
              <w:t>TikTok/Instagram passive reach; a documentary's streaming audience</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Engaged</w:t>
            </w:r>
          </w:p>
        </w:tc>
        <w:tc>
          <w:tcPr>
            <w:tcW w:w="6037" w:type="dxa"/>
            <w:tcBorders/>
            <w:vAlign w:val="center"/>
          </w:tcPr>
          <w:p>
            <w:pPr>
              <w:pStyle w:val="Normal"/>
              <w:tabs>
                <w:tab w:val="clear" w:pos="709"/>
              </w:tabs>
              <w:bidi w:val="0"/>
              <w:jc w:val="left"/>
              <w:rPr/>
            </w:pPr>
            <w:r>
              <w:rPr>
                <w:rFonts w:ascii="Consolas" w:hAnsi="Consolas"/>
                <w:color w:val="000000"/>
                <w:sz w:val="22"/>
              </w:rPr>
              <w:t>3</w:t>
            </w:r>
          </w:p>
        </w:tc>
        <w:tc>
          <w:tcPr>
            <w:tcW w:w="6037" w:type="dxa"/>
            <w:tcBorders/>
            <w:vAlign w:val="center"/>
          </w:tcPr>
          <w:p>
            <w:pPr>
              <w:pStyle w:val="Normal"/>
              <w:tabs>
                <w:tab w:val="clear" w:pos="709"/>
              </w:tabs>
              <w:bidi w:val="0"/>
              <w:jc w:val="left"/>
              <w:rPr/>
            </w:pPr>
            <w:r>
              <w:rPr>
                <w:rFonts w:ascii="Consolas" w:hAnsi="Consolas"/>
                <w:color w:val="000000"/>
                <w:sz w:val="22"/>
              </w:rPr>
              <w:t>Chooses AI content; tech-literate</w:t>
            </w:r>
          </w:p>
        </w:tc>
        <w:tc>
          <w:tcPr>
            <w:tcW w:w="6037" w:type="dxa"/>
            <w:tcBorders/>
            <w:vAlign w:val="center"/>
          </w:tcPr>
          <w:p>
            <w:pPr>
              <w:pStyle w:val="Normal"/>
              <w:tabs>
                <w:tab w:val="clear" w:pos="709"/>
              </w:tabs>
              <w:bidi w:val="0"/>
              <w:jc w:val="left"/>
              <w:rPr/>
            </w:pPr>
            <w:r>
              <w:rPr>
                <w:rFonts w:ascii="Consolas" w:hAnsi="Consolas"/>
                <w:color w:val="000000"/>
                <w:sz w:val="22"/>
              </w:rPr>
              <w:t>Rob Miles's viewers (returning and drive-by)</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Professional-adjacent</w:t>
            </w:r>
          </w:p>
        </w:tc>
        <w:tc>
          <w:tcPr>
            <w:tcW w:w="6037" w:type="dxa"/>
            <w:tcBorders/>
            <w:vAlign w:val="center"/>
          </w:tcPr>
          <w:p>
            <w:pPr>
              <w:pStyle w:val="Normal"/>
              <w:tabs>
                <w:tab w:val="clear" w:pos="709"/>
              </w:tabs>
              <w:bidi w:val="0"/>
              <w:jc w:val="left"/>
              <w:rPr/>
            </w:pPr>
            <w:r>
              <w:rPr>
                <w:rFonts w:ascii="Consolas" w:hAnsi="Consolas"/>
                <w:color w:val="000000"/>
                <w:sz w:val="22"/>
              </w:rPr>
              <w:t>10</w:t>
            </w:r>
          </w:p>
        </w:tc>
        <w:tc>
          <w:tcPr>
            <w:tcW w:w="6037" w:type="dxa"/>
            <w:tcBorders/>
            <w:vAlign w:val="center"/>
          </w:tcPr>
          <w:p>
            <w:pPr>
              <w:pStyle w:val="Normal"/>
              <w:tabs>
                <w:tab w:val="clear" w:pos="709"/>
              </w:tabs>
              <w:bidi w:val="0"/>
              <w:jc w:val="left"/>
              <w:rPr/>
            </w:pPr>
            <w:r>
              <w:rPr>
                <w:rFonts w:ascii="Consolas" w:hAnsi="Consolas"/>
                <w:color w:val="000000"/>
                <w:sz w:val="22"/>
              </w:rPr>
              <w:t>Works in or near tech, policy, media</w:t>
            </w:r>
          </w:p>
        </w:tc>
        <w:tc>
          <w:tcPr>
            <w:tcW w:w="6037" w:type="dxa"/>
            <w:tcBorders/>
            <w:vAlign w:val="center"/>
          </w:tcPr>
          <w:p>
            <w:pPr>
              <w:pStyle w:val="Normal"/>
              <w:tabs>
                <w:tab w:val="clear" w:pos="709"/>
              </w:tabs>
              <w:bidi w:val="0"/>
              <w:jc w:val="left"/>
              <w:rPr/>
            </w:pPr>
            <w:r>
              <w:rPr>
                <w:rFonts w:ascii="Consolas" w:hAnsi="Consolas"/>
                <w:color w:val="000000"/>
                <w:sz w:val="22"/>
              </w:rPr>
              <w:t>ACX readership; MIT Tech Review AI readers; festival audiences</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Field-insider</w:t>
            </w:r>
          </w:p>
        </w:tc>
        <w:tc>
          <w:tcPr>
            <w:tcW w:w="6037" w:type="dxa"/>
            <w:tcBorders/>
            <w:vAlign w:val="center"/>
          </w:tcPr>
          <w:p>
            <w:pPr>
              <w:pStyle w:val="Normal"/>
              <w:tabs>
                <w:tab w:val="clear" w:pos="709"/>
              </w:tabs>
              <w:bidi w:val="0"/>
              <w:jc w:val="left"/>
              <w:rPr/>
            </w:pPr>
            <w:r>
              <w:rPr>
                <w:rFonts w:ascii="Consolas" w:hAnsi="Consolas"/>
                <w:color w:val="000000"/>
                <w:sz w:val="22"/>
              </w:rPr>
              <w:t>30</w:t>
            </w:r>
          </w:p>
        </w:tc>
        <w:tc>
          <w:tcPr>
            <w:tcW w:w="6037" w:type="dxa"/>
            <w:tcBorders/>
            <w:vAlign w:val="center"/>
          </w:tcPr>
          <w:p>
            <w:pPr>
              <w:pStyle w:val="Normal"/>
              <w:tabs>
                <w:tab w:val="clear" w:pos="709"/>
              </w:tabs>
              <w:bidi w:val="0"/>
              <w:jc w:val="left"/>
              <w:rPr/>
            </w:pPr>
            <w:r>
              <w:rPr>
                <w:rFonts w:ascii="Consolas" w:hAnsi="Consolas"/>
                <w:color w:val="000000"/>
                <w:sz w:val="22"/>
              </w:rPr>
              <w:t>AI researchers, grad students, safety community, policy-adjacent</w:t>
            </w:r>
          </w:p>
        </w:tc>
        <w:tc>
          <w:tcPr>
            <w:tcW w:w="6037" w:type="dxa"/>
            <w:tcBorders/>
            <w:vAlign w:val="center"/>
          </w:tcPr>
          <w:p>
            <w:pPr>
              <w:pStyle w:val="Normal"/>
              <w:tabs>
                <w:tab w:val="clear" w:pos="709"/>
              </w:tabs>
              <w:bidi w:val="0"/>
              <w:jc w:val="left"/>
              <w:rPr/>
            </w:pPr>
            <w:r>
              <w:rPr>
                <w:rFonts w:ascii="Consolas" w:hAnsi="Consolas"/>
                <w:color w:val="000000"/>
                <w:sz w:val="22"/>
              </w:rPr>
              <w:t>80,000 Hours listeners; ACX's survey-identified core (~30,000)</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Decision-maker-adjacent</w:t>
            </w:r>
          </w:p>
        </w:tc>
        <w:tc>
          <w:tcPr>
            <w:tcW w:w="6037" w:type="dxa"/>
            <w:tcBorders/>
            <w:vAlign w:val="center"/>
          </w:tcPr>
          <w:p>
            <w:pPr>
              <w:pStyle w:val="Normal"/>
              <w:tabs>
                <w:tab w:val="clear" w:pos="709"/>
              </w:tabs>
              <w:bidi w:val="0"/>
              <w:jc w:val="left"/>
              <w:rPr/>
            </w:pPr>
            <w:r>
              <w:rPr>
                <w:rFonts w:ascii="Consolas" w:hAnsi="Consolas"/>
                <w:color w:val="000000"/>
                <w:sz w:val="22"/>
              </w:rPr>
              <w:t>100</w:t>
            </w:r>
          </w:p>
        </w:tc>
        <w:tc>
          <w:tcPr>
            <w:tcW w:w="6037" w:type="dxa"/>
            <w:tcBorders/>
            <w:vAlign w:val="center"/>
          </w:tcPr>
          <w:p>
            <w:pPr>
              <w:pStyle w:val="Normal"/>
              <w:tabs>
                <w:tab w:val="clear" w:pos="709"/>
              </w:tabs>
              <w:bidi w:val="0"/>
              <w:jc w:val="left"/>
              <w:rPr/>
            </w:pPr>
            <w:r>
              <w:rPr>
                <w:rFonts w:ascii="Consolas" w:hAnsi="Consolas"/>
                <w:color w:val="000000"/>
                <w:sz w:val="22"/>
              </w:rPr>
              <w:t>Rooms only (≤500 people): senior lab staff, committee staffers, think-tank principals</w:t>
            </w:r>
          </w:p>
        </w:tc>
        <w:tc>
          <w:tcPr>
            <w:tcW w:w="6037" w:type="dxa"/>
            <w:tcBorders/>
            <w:vAlign w:val="center"/>
          </w:tcPr>
          <w:p>
            <w:pPr>
              <w:pStyle w:val="Normal"/>
              <w:tabs>
                <w:tab w:val="clear" w:pos="709"/>
              </w:tabs>
              <w:bidi w:val="0"/>
              <w:jc w:val="left"/>
              <w:rPr/>
            </w:pPr>
            <w:r>
              <w:rPr>
                <w:rFonts w:ascii="Consolas" w:hAnsi="Consolas"/>
                <w:color w:val="000000"/>
                <w:sz w:val="22"/>
              </w:rPr>
              <w:t>A DC screening; an internal lab exercise</w:t>
            </w:r>
          </w:p>
        </w:tc>
      </w:tr>
    </w:tbl>
    <w:p>
      <w:pPr>
        <w:pStyle w:val="Normal"/>
        <w:bidi w:val="0"/>
        <w:jc w:val="left"/>
        <w:rPr>
          <w:rFonts w:ascii="Consolas" w:hAnsi="Consolas"/>
          <w:color w:val="000000"/>
          <w:sz w:val="22"/>
        </w:rPr>
      </w:pPr>
      <w:r>
        <w:rPr>
          <w:rFonts w:ascii="Consolas" w:hAnsi="Consolas"/>
          <w:b/>
          <w:color w:val="000000"/>
          <w:sz w:val="22"/>
        </w:rPr>
        <w:t>Exposure classes (Δ band and Y).</w:t>
      </w:r>
    </w:p>
    <w:tbl>
      <w:tblPr>
        <w:tblW w:w="24148" w:type="dxa"/>
        <w:jc w:val="left"/>
        <w:tblInd w:w="180" w:type="dxa"/>
        <w:tblLayout w:type="fixed"/>
        <w:tblCellMar>
          <w:top w:w="0" w:type="dxa"/>
          <w:left w:w="180" w:type="dxa"/>
          <w:bottom w:w="0" w:type="dxa"/>
          <w:right w:w="180" w:type="dxa"/>
        </w:tblCellMar>
      </w:tblPr>
      <w:tblGrid>
        <w:gridCol w:w="6037"/>
        <w:gridCol w:w="6037"/>
        <w:gridCol w:w="6037"/>
        <w:gridCol w:w="6037"/>
      </w:tblGrid>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Class</w:t>
            </w:r>
          </w:p>
        </w:tc>
        <w:tc>
          <w:tcPr>
            <w:tcW w:w="6037" w:type="dxa"/>
            <w:tcBorders/>
            <w:vAlign w:val="center"/>
          </w:tcPr>
          <w:p>
            <w:pPr>
              <w:pStyle w:val="Normal"/>
              <w:tabs>
                <w:tab w:val="clear" w:pos="709"/>
              </w:tabs>
              <w:bidi w:val="0"/>
              <w:jc w:val="left"/>
              <w:rPr/>
            </w:pPr>
            <w:r>
              <w:rPr>
                <w:rFonts w:ascii="Consolas" w:hAnsi="Consolas"/>
                <w:color w:val="000000"/>
                <w:sz w:val="22"/>
              </w:rPr>
              <w:t>What the person gets</w:t>
            </w:r>
          </w:p>
        </w:tc>
        <w:tc>
          <w:tcPr>
            <w:tcW w:w="6037" w:type="dxa"/>
            <w:tcBorders/>
            <w:vAlign w:val="center"/>
          </w:tcPr>
          <w:p>
            <w:pPr>
              <w:pStyle w:val="Normal"/>
              <w:tabs>
                <w:tab w:val="clear" w:pos="709"/>
              </w:tabs>
              <w:bidi w:val="0"/>
              <w:jc w:val="left"/>
              <w:rPr/>
            </w:pPr>
            <w:r>
              <w:rPr>
                <w:rFonts w:ascii="Consolas" w:hAnsi="Consolas"/>
                <w:color w:val="000000"/>
                <w:sz w:val="22"/>
              </w:rPr>
              <w:t>Δ band</w:t>
            </w:r>
          </w:p>
        </w:tc>
        <w:tc>
          <w:tcPr>
            <w:tcW w:w="6037" w:type="dxa"/>
            <w:tcBorders/>
            <w:vAlign w:val="center"/>
          </w:tcPr>
          <w:p>
            <w:pPr>
              <w:pStyle w:val="Normal"/>
              <w:tabs>
                <w:tab w:val="clear" w:pos="709"/>
              </w:tabs>
              <w:bidi w:val="0"/>
              <w:jc w:val="left"/>
              <w:rPr/>
            </w:pPr>
            <w:r>
              <w:rPr>
                <w:rFonts w:ascii="Consolas" w:hAnsi="Consolas"/>
                <w:color w:val="000000"/>
                <w:sz w:val="22"/>
              </w:rPr>
              <w:t>Y</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Glance</w:t>
            </w:r>
          </w:p>
        </w:tc>
        <w:tc>
          <w:tcPr>
            <w:tcW w:w="6037" w:type="dxa"/>
            <w:tcBorders/>
            <w:vAlign w:val="center"/>
          </w:tcPr>
          <w:p>
            <w:pPr>
              <w:pStyle w:val="Normal"/>
              <w:tabs>
                <w:tab w:val="clear" w:pos="709"/>
              </w:tabs>
              <w:bidi w:val="0"/>
              <w:jc w:val="left"/>
              <w:rPr/>
            </w:pPr>
            <w:r>
              <w:rPr>
                <w:rFonts w:ascii="Consolas" w:hAnsi="Consolas"/>
                <w:color w:val="000000"/>
                <w:sz w:val="22"/>
              </w:rPr>
              <w:t>One short piece, clip, ad, scroll-past</w:t>
            </w:r>
          </w:p>
        </w:tc>
        <w:tc>
          <w:tcPr>
            <w:tcW w:w="6037" w:type="dxa"/>
            <w:tcBorders/>
            <w:vAlign w:val="center"/>
          </w:tcPr>
          <w:p>
            <w:pPr>
              <w:pStyle w:val="Normal"/>
              <w:tabs>
                <w:tab w:val="clear" w:pos="709"/>
              </w:tabs>
              <w:bidi w:val="0"/>
              <w:jc w:val="left"/>
              <w:rPr/>
            </w:pPr>
            <w:r>
              <w:rPr>
                <w:rFonts w:ascii="Consolas" w:hAnsi="Consolas"/>
                <w:color w:val="000000"/>
                <w:sz w:val="22"/>
              </w:rPr>
              <w:t>0.01–0.03</w:t>
            </w:r>
          </w:p>
        </w:tc>
        <w:tc>
          <w:tcPr>
            <w:tcW w:w="6037" w:type="dxa"/>
            <w:tcBorders/>
            <w:vAlign w:val="center"/>
          </w:tcPr>
          <w:p>
            <w:pPr>
              <w:pStyle w:val="Normal"/>
              <w:tabs>
                <w:tab w:val="clear" w:pos="709"/>
              </w:tabs>
              <w:bidi w:val="0"/>
              <w:jc w:val="left"/>
              <w:rPr/>
            </w:pPr>
            <w:r>
              <w:rPr>
                <w:rFonts w:ascii="Consolas" w:hAnsi="Consolas"/>
                <w:color w:val="000000"/>
                <w:sz w:val="22"/>
              </w:rPr>
              <w:t>0.5</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Long-form</w:t>
            </w:r>
          </w:p>
        </w:tc>
        <w:tc>
          <w:tcPr>
            <w:tcW w:w="6037" w:type="dxa"/>
            <w:tcBorders/>
            <w:vAlign w:val="center"/>
          </w:tcPr>
          <w:p>
            <w:pPr>
              <w:pStyle w:val="Normal"/>
              <w:tabs>
                <w:tab w:val="clear" w:pos="709"/>
              </w:tabs>
              <w:bidi w:val="0"/>
              <w:jc w:val="left"/>
              <w:rPr/>
            </w:pPr>
            <w:r>
              <w:rPr>
                <w:rFonts w:ascii="Consolas" w:hAnsi="Consolas"/>
                <w:color w:val="000000"/>
                <w:sz w:val="22"/>
              </w:rPr>
              <w:t>One documentary, long episode, book, or multi-day event</w:t>
            </w:r>
          </w:p>
        </w:tc>
        <w:tc>
          <w:tcPr>
            <w:tcW w:w="6037" w:type="dxa"/>
            <w:tcBorders/>
            <w:vAlign w:val="center"/>
          </w:tcPr>
          <w:p>
            <w:pPr>
              <w:pStyle w:val="Normal"/>
              <w:tabs>
                <w:tab w:val="clear" w:pos="709"/>
              </w:tabs>
              <w:bidi w:val="0"/>
              <w:jc w:val="left"/>
              <w:rPr/>
            </w:pPr>
            <w:r>
              <w:rPr>
                <w:rFonts w:ascii="Consolas" w:hAnsi="Consolas"/>
                <w:color w:val="000000"/>
                <w:sz w:val="22"/>
              </w:rPr>
              <w:t>0.03–0.08</w:t>
            </w:r>
          </w:p>
        </w:tc>
        <w:tc>
          <w:tcPr>
            <w:tcW w:w="6037" w:type="dxa"/>
            <w:tcBorders/>
            <w:vAlign w:val="center"/>
          </w:tcPr>
          <w:p>
            <w:pPr>
              <w:pStyle w:val="Normal"/>
              <w:tabs>
                <w:tab w:val="clear" w:pos="709"/>
              </w:tabs>
              <w:bidi w:val="0"/>
              <w:jc w:val="left"/>
              <w:rPr/>
            </w:pPr>
            <w:r>
              <w:rPr>
                <w:rFonts w:ascii="Consolas" w:hAnsi="Consolas"/>
                <w:color w:val="000000"/>
                <w:sz w:val="22"/>
              </w:rPr>
              <w:t>1</w:t>
            </w:r>
          </w:p>
        </w:tc>
      </w:tr>
      <w:tr>
        <w:trPr>
          <w:trHeight w:val="600" w:hRule="atLeast"/>
        </w:trPr>
        <w:tc>
          <w:tcPr>
            <w:tcW w:w="6037" w:type="dxa"/>
            <w:tcBorders/>
            <w:vAlign w:val="center"/>
          </w:tcPr>
          <w:p>
            <w:pPr>
              <w:pStyle w:val="Normal"/>
              <w:tabs>
                <w:tab w:val="clear" w:pos="709"/>
              </w:tabs>
              <w:bidi w:val="0"/>
              <w:jc w:val="left"/>
              <w:rPr/>
            </w:pPr>
            <w:r>
              <w:rPr>
                <w:rFonts w:ascii="Consolas" w:hAnsi="Consolas"/>
                <w:color w:val="000000"/>
                <w:sz w:val="22"/>
              </w:rPr>
              <w:t>Sustained</w:t>
            </w:r>
          </w:p>
        </w:tc>
        <w:tc>
          <w:tcPr>
            <w:tcW w:w="6037" w:type="dxa"/>
            <w:tcBorders/>
            <w:vAlign w:val="center"/>
          </w:tcPr>
          <w:p>
            <w:pPr>
              <w:pStyle w:val="Normal"/>
              <w:tabs>
                <w:tab w:val="clear" w:pos="709"/>
              </w:tabs>
              <w:bidi w:val="0"/>
              <w:jc w:val="left"/>
              <w:rPr/>
            </w:pPr>
            <w:r>
              <w:rPr>
                <w:rFonts w:ascii="Consolas" w:hAnsi="Consolas"/>
                <w:color w:val="000000"/>
                <w:sz w:val="22"/>
              </w:rPr>
              <w:t>A returning audience over a year, a course, a fellowship</w:t>
            </w:r>
          </w:p>
        </w:tc>
        <w:tc>
          <w:tcPr>
            <w:tcW w:w="6037" w:type="dxa"/>
            <w:tcBorders/>
            <w:vAlign w:val="center"/>
          </w:tcPr>
          <w:p>
            <w:pPr>
              <w:pStyle w:val="Normal"/>
              <w:tabs>
                <w:tab w:val="clear" w:pos="709"/>
              </w:tabs>
              <w:bidi w:val="0"/>
              <w:jc w:val="left"/>
              <w:rPr/>
            </w:pPr>
            <w:r>
              <w:rPr>
                <w:rFonts w:ascii="Consolas" w:hAnsi="Consolas"/>
                <w:color w:val="000000"/>
                <w:sz w:val="22"/>
              </w:rPr>
              <w:t>0.10–0.30</w:t>
            </w:r>
          </w:p>
        </w:tc>
        <w:tc>
          <w:tcPr>
            <w:tcW w:w="6037" w:type="dxa"/>
            <w:tcBorders/>
            <w:vAlign w:val="center"/>
          </w:tcPr>
          <w:p>
            <w:pPr>
              <w:pStyle w:val="Normal"/>
              <w:tabs>
                <w:tab w:val="clear" w:pos="709"/>
              </w:tabs>
              <w:bidi w:val="0"/>
              <w:jc w:val="left"/>
              <w:rPr/>
            </w:pPr>
            <w:r>
              <w:rPr>
                <w:rFonts w:ascii="Consolas" w:hAnsi="Consolas"/>
                <w:color w:val="000000"/>
                <w:sz w:val="22"/>
              </w:rPr>
              <w:t>3</w:t>
            </w:r>
          </w:p>
        </w:tc>
      </w:tr>
    </w:tbl>
    <w:p>
      <w:pPr>
        <w:pStyle w:val="Normal"/>
        <w:bidi w:val="0"/>
        <w:jc w:val="left"/>
        <w:rPr>
          <w:rFonts w:ascii="Consolas" w:hAnsi="Consolas"/>
          <w:color w:val="000000"/>
          <w:sz w:val="50"/>
        </w:rPr>
      </w:pPr>
      <w:r>
        <w:rPr>
          <w:rFonts w:ascii="Consolas" w:hAnsi="Consolas"/>
          <w:color w:val="000000"/>
          <w:sz w:val="50"/>
        </w:rPr>
        <w:t>2. Counted elite classes (E)</w:t>
      </w:r>
    </w:p>
    <w:p>
      <w:pPr>
        <w:pStyle w:val="Normal"/>
        <w:bidi w:val="0"/>
        <w:jc w:val="left"/>
        <w:rPr>
          <w:rFonts w:ascii="Consolas" w:hAnsi="Consolas"/>
          <w:color w:val="000000"/>
          <w:sz w:val="22"/>
        </w:rPr>
      </w:pPr>
      <w:r>
        <w:rPr>
          <w:rFonts w:ascii="Consolas" w:hAnsi="Consolas"/>
          <w:color w:val="000000"/>
          <w:sz w:val="22"/>
        </w:rPr>
        <w:t>Two groups are counted, never binned:</w:t>
      </w:r>
    </w:p>
    <w:tbl>
      <w:tblPr>
        <w:tblW w:w="24150" w:type="dxa"/>
        <w:jc w:val="left"/>
        <w:tblInd w:w="180" w:type="dxa"/>
        <w:tblLayout w:type="fixed"/>
        <w:tblCellMar>
          <w:top w:w="0" w:type="dxa"/>
          <w:left w:w="180" w:type="dxa"/>
          <w:bottom w:w="0" w:type="dxa"/>
          <w:right w:w="180" w:type="dxa"/>
        </w:tblCellMar>
      </w:tblPr>
      <w:tblGrid>
        <w:gridCol w:w="8050"/>
        <w:gridCol w:w="8050"/>
        <w:gridCol w:w="8050"/>
      </w:tblGrid>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Class</w:t>
            </w:r>
          </w:p>
        </w:tc>
        <w:tc>
          <w:tcPr>
            <w:tcW w:w="8050" w:type="dxa"/>
            <w:tcBorders/>
            <w:vAlign w:val="center"/>
          </w:tcPr>
          <w:p>
            <w:pPr>
              <w:pStyle w:val="Normal"/>
              <w:tabs>
                <w:tab w:val="clear" w:pos="709"/>
              </w:tabs>
              <w:bidi w:val="0"/>
              <w:jc w:val="left"/>
              <w:rPr/>
            </w:pPr>
            <w:r>
              <w:rPr>
                <w:rFonts w:ascii="Consolas" w:hAnsi="Consolas"/>
                <w:color w:val="000000"/>
                <w:sz w:val="22"/>
              </w:rPr>
              <w:t>Weight w</w:t>
            </w:r>
          </w:p>
        </w:tc>
        <w:tc>
          <w:tcPr>
            <w:tcW w:w="8050" w:type="dxa"/>
            <w:tcBorders/>
            <w:vAlign w:val="center"/>
          </w:tcPr>
          <w:p>
            <w:pPr>
              <w:pStyle w:val="Normal"/>
              <w:tabs>
                <w:tab w:val="clear" w:pos="709"/>
              </w:tabs>
              <w:bidi w:val="0"/>
              <w:jc w:val="left"/>
              <w:rPr/>
            </w:pPr>
            <w:r>
              <w:rPr>
                <w:rFonts w:ascii="Consolas" w:hAnsi="Consolas"/>
                <w:color w:val="000000"/>
                <w:sz w:val="22"/>
              </w:rPr>
              <w:t>World pool</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Frontier-lab employees and government AI staff</w:t>
            </w:r>
          </w:p>
        </w:tc>
        <w:tc>
          <w:tcPr>
            <w:tcW w:w="8050" w:type="dxa"/>
            <w:tcBorders/>
            <w:vAlign w:val="center"/>
          </w:tcPr>
          <w:p>
            <w:pPr>
              <w:pStyle w:val="Normal"/>
              <w:tabs>
                <w:tab w:val="clear" w:pos="709"/>
              </w:tabs>
              <w:bidi w:val="0"/>
              <w:jc w:val="left"/>
              <w:rPr/>
            </w:pPr>
            <w:r>
              <w:rPr>
                <w:rFonts w:ascii="Consolas" w:hAnsi="Consolas"/>
                <w:color w:val="000000"/>
                <w:sz w:val="22"/>
              </w:rPr>
              <w:t>3,000</w:t>
            </w:r>
          </w:p>
        </w:tc>
        <w:tc>
          <w:tcPr>
            <w:tcW w:w="8050" w:type="dxa"/>
            <w:tcBorders/>
            <w:vAlign w:val="center"/>
          </w:tcPr>
          <w:p>
            <w:pPr>
              <w:pStyle w:val="Normal"/>
              <w:tabs>
                <w:tab w:val="clear" w:pos="709"/>
              </w:tabs>
              <w:bidi w:val="0"/>
              <w:jc w:val="left"/>
              <w:rPr/>
            </w:pPr>
            <w:r>
              <w:rPr>
                <w:rFonts w:ascii="Consolas" w:hAnsi="Consolas"/>
                <w:color w:val="000000"/>
                <w:sz w:val="22"/>
              </w:rPr>
              <w:t>~50,000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AI-beat journalists and editors</w:t>
            </w:r>
          </w:p>
        </w:tc>
        <w:tc>
          <w:tcPr>
            <w:tcW w:w="8050" w:type="dxa"/>
            <w:tcBorders/>
            <w:vAlign w:val="center"/>
          </w:tcPr>
          <w:p>
            <w:pPr>
              <w:pStyle w:val="Normal"/>
              <w:tabs>
                <w:tab w:val="clear" w:pos="709"/>
              </w:tabs>
              <w:bidi w:val="0"/>
              <w:jc w:val="left"/>
              <w:rPr/>
            </w:pPr>
            <w:r>
              <w:rPr>
                <w:rFonts w:ascii="Consolas" w:hAnsi="Consolas"/>
                <w:color w:val="000000"/>
                <w:sz w:val="22"/>
              </w:rPr>
              <w:t>10,000</w:t>
            </w:r>
          </w:p>
        </w:tc>
        <w:tc>
          <w:tcPr>
            <w:tcW w:w="8050" w:type="dxa"/>
            <w:tcBorders/>
            <w:vAlign w:val="center"/>
          </w:tcPr>
          <w:p>
            <w:pPr>
              <w:pStyle w:val="Normal"/>
              <w:tabs>
                <w:tab w:val="clear" w:pos="709"/>
              </w:tabs>
              <w:bidi w:val="0"/>
              <w:jc w:val="left"/>
              <w:rPr/>
            </w:pPr>
            <w:r>
              <w:rPr>
                <w:rFonts w:ascii="Consolas" w:hAnsi="Consolas"/>
                <w:color w:val="000000"/>
                <w:sz w:val="22"/>
              </w:rPr>
              <w:t>~3,000</w:t>
            </w:r>
          </w:p>
        </w:tc>
      </w:tr>
    </w:tbl>
    <w:p>
      <w:pPr>
        <w:pStyle w:val="Normal"/>
        <w:bidi w:val="0"/>
        <w:jc w:val="left"/>
        <w:rPr>
          <w:rFonts w:ascii="Consolas" w:hAnsi="Consolas"/>
          <w:color w:val="000000"/>
          <w:sz w:val="22"/>
        </w:rPr>
      </w:pPr>
      <w:r>
        <w:rPr>
          <w:rFonts w:ascii="Consolas" w:hAnsi="Consolas"/>
          <w:color w:val="000000"/>
          <w:sz w:val="22"/>
        </w:rPr>
        <w:t>`PERCYs = count × w × Δ\_E × Y (× cf for a grant)`</w:t>
      </w:r>
    </w:p>
    <w:p>
      <w:pPr>
        <w:pStyle w:val="Normal"/>
        <w:numPr>
          <w:ilvl w:val="1"/>
          <w:numId w:val="1"/>
        </w:numPr>
        <w:bidi w:val="0"/>
        <w:ind w:hanging="400" w:left="400"/>
        <w:jc w:val="left"/>
        <w:rPr>
          <w:rFonts w:ascii="Consolas" w:hAnsi="Consolas"/>
          <w:color w:val="000000"/>
          <w:sz w:val="22"/>
        </w:rPr>
      </w:pPr>
      <w:r>
        <w:rPr>
          <w:rFonts w:ascii="Consolas" w:hAnsi="Consolas"/>
          <w:b/>
          <w:color w:val="000000"/>
          <w:sz w:val="22"/>
        </w:rPr>
        <w:t>Channels:</w:t>
      </w:r>
      <w:r>
        <w:rPr>
          <w:rFonts w:ascii="Consolas" w:hAnsi="Consolas"/>
          <w:color w:val="000000"/>
          <w:sz w:val="22"/>
        </w:rPr>
        <w:t xml:space="preserve"> count = class members who follow the channel monthly or better. These are the returning core by definition, so Y = 3.</w:t>
      </w:r>
    </w:p>
    <w:p>
      <w:pPr>
        <w:pStyle w:val="Normal"/>
        <w:numPr>
          <w:ilvl w:val="1"/>
          <w:numId w:val="1"/>
        </w:numPr>
        <w:bidi w:val="0"/>
        <w:ind w:hanging="400" w:left="400"/>
        <w:jc w:val="left"/>
        <w:rPr>
          <w:rFonts w:ascii="Consolas" w:hAnsi="Consolas"/>
          <w:color w:val="000000"/>
          <w:sz w:val="22"/>
        </w:rPr>
      </w:pPr>
      <w:r>
        <w:rPr>
          <w:rFonts w:ascii="Consolas" w:hAnsi="Consolas"/>
          <w:b/>
          <w:color w:val="000000"/>
          <w:sz w:val="22"/>
        </w:rPr>
        <w:t>One-off events (rooms, screenings):</w:t>
      </w:r>
      <w:r>
        <w:rPr>
          <w:rFonts w:ascii="Consolas" w:hAnsi="Consolas"/>
          <w:color w:val="000000"/>
          <w:sz w:val="22"/>
        </w:rPr>
        <w:t xml:space="preserve"> count members present; use the event's own Δ and exposure class.</w:t>
      </w:r>
    </w:p>
    <w:p>
      <w:pPr>
        <w:pStyle w:val="Normal"/>
        <w:numPr>
          <w:ilvl w:val="1"/>
          <w:numId w:val="1"/>
        </w:numPr>
        <w:bidi w:val="0"/>
        <w:ind w:hanging="400" w:left="400"/>
        <w:jc w:val="left"/>
        <w:rPr>
          <w:rFonts w:ascii="Consolas" w:hAnsi="Consolas"/>
          <w:color w:val="000000"/>
          <w:sz w:val="22"/>
        </w:rPr>
      </w:pPr>
      <w:r>
        <w:rPr>
          <w:rFonts w:ascii="Consolas" w:hAnsi="Consolas"/>
          <w:b/>
          <w:color w:val="000000"/>
          <w:sz w:val="22"/>
        </w:rPr>
        <w:t>Δ_E</w:t>
      </w:r>
      <w:r>
        <w:rPr>
          <w:rFonts w:ascii="Consolas" w:hAnsi="Consolas"/>
          <w:color w:val="000000"/>
          <w:sz w:val="22"/>
        </w:rPr>
        <w:t xml:space="preserve"> is the </w:t>
      </w:r>
      <w:r>
        <w:rPr>
          <w:rFonts w:ascii="Consolas" w:hAnsi="Consolas"/>
          <w:i/>
          <w:color w:val="000000"/>
          <w:sz w:val="22"/>
        </w:rPr>
        <w:t>counterfactual</w:t>
      </w:r>
      <w:r>
        <w:rPr>
          <w:rFonts w:ascii="Consolas" w:hAnsi="Consolas"/>
          <w:color w:val="000000"/>
          <w:sz w:val="22"/>
        </w:rPr>
        <w:t xml:space="preserve"> annual shift: how much less convinced these members would be if this channel didn't exist, given everything else they read. Normal range is 0.3–3× the channel's audience Δ. Reference values: ACX 0.12 lab / 0.10 journalists; 80,000 Hours 0.12 / 0.06; Rob Miles 0.06 / 0.04; MIT Tech Review 0.03 / 0.06; a general-audience creator 0.02 / 0.02; a single guest appearance 0 to −0.01.</w:t>
      </w:r>
    </w:p>
    <w:p>
      <w:pPr>
        <w:pStyle w:val="Normal"/>
        <w:numPr>
          <w:ilvl w:val="1"/>
          <w:numId w:val="1"/>
        </w:numPr>
        <w:bidi w:val="0"/>
        <w:ind w:hanging="400" w:left="400"/>
        <w:jc w:val="left"/>
        <w:rPr>
          <w:rFonts w:ascii="Consolas" w:hAnsi="Consolas"/>
          <w:color w:val="000000"/>
          <w:sz w:val="22"/>
        </w:rPr>
      </w:pPr>
      <w:r>
        <w:rPr>
          <w:rFonts w:ascii="Consolas" w:hAnsi="Consolas"/>
          <w:color w:val="000000"/>
          <w:sz w:val="22"/>
        </w:rPr>
        <w:t>If E exceeds F for a grant, say so; the headcount needs a second look.</w:t>
      </w:r>
    </w:p>
    <w:p>
      <w:pPr>
        <w:pStyle w:val="Normal"/>
        <w:bidi w:val="0"/>
        <w:jc w:val="left"/>
        <w:rPr>
          <w:rFonts w:ascii="Consolas" w:hAnsi="Consolas"/>
          <w:color w:val="000000"/>
          <w:sz w:val="50"/>
        </w:rPr>
      </w:pPr>
      <w:r>
        <w:rPr>
          <w:rFonts w:ascii="Consolas" w:hAnsi="Consolas"/>
          <w:color w:val="000000"/>
          <w:sz w:val="50"/>
        </w:rPr>
        <w:t>3. Named decision-makers (M)</w:t>
      </w:r>
    </w:p>
    <w:p>
      <w:pPr>
        <w:pStyle w:val="Normal"/>
        <w:bidi w:val="0"/>
        <w:jc w:val="left"/>
        <w:rPr>
          <w:rFonts w:ascii="Consolas" w:hAnsi="Consolas"/>
          <w:color w:val="000000"/>
          <w:sz w:val="22"/>
        </w:rPr>
      </w:pPr>
      <w:r>
        <w:rPr>
          <w:rFonts w:ascii="Consolas" w:hAnsi="Consolas"/>
          <w:color w:val="000000"/>
          <w:sz w:val="22"/>
        </w:rPr>
        <w:t xml:space="preserve">Only for people the application </w:t>
      </w:r>
      <w:r>
        <w:rPr>
          <w:rFonts w:ascii="Consolas" w:hAnsi="Consolas"/>
          <w:b/>
          <w:color w:val="000000"/>
          <w:sz w:val="22"/>
        </w:rPr>
        <w:t>names</w:t>
      </w:r>
      <w:r>
        <w:rPr>
          <w:rFonts w:ascii="Consolas" w:hAnsi="Consolas"/>
          <w:color w:val="000000"/>
          <w:sz w:val="22"/>
        </w:rPr>
        <w:t xml:space="preserve">, or a category it </w:t>
      </w:r>
      <w:r>
        <w:rPr>
          <w:rFonts w:ascii="Consolas" w:hAnsi="Consolas"/>
          <w:b/>
          <w:color w:val="000000"/>
          <w:sz w:val="22"/>
        </w:rPr>
        <w:t>enumerates with a number</w:t>
      </w:r>
      <w:r>
        <w:rPr>
          <w:rFonts w:ascii="Consolas" w:hAnsi="Consolas"/>
          <w:color w:val="000000"/>
          <w:sz w:val="22"/>
        </w:rPr>
        <w:t xml:space="preserve"> ("the staff of the Senate Commerce Committee"). "Senior staff" with no names or numbers is an F row at bin 100. Weights: committee staffer 3,000; House member or named senior lab researcher 30,000; Chinese senior AI academic / State Council advisor 100,000; median Senator 300,000; leadership Senator, frontier-lab CEO or Cabinet principal 1,000,000; President 10,000,000; Xi 20,000,000. Value = persons × weight × Δ (or × probability of a specific verifiable action) × Y × cf.</w:t>
      </w:r>
    </w:p>
    <w:p>
      <w:pPr>
        <w:pStyle w:val="Normal"/>
        <w:bidi w:val="0"/>
        <w:jc w:val="left"/>
        <w:rPr>
          <w:rFonts w:ascii="Consolas" w:hAnsi="Consolas"/>
          <w:color w:val="000000"/>
          <w:sz w:val="50"/>
        </w:rPr>
      </w:pPr>
      <w:r>
        <w:rPr>
          <w:rFonts w:ascii="Consolas" w:hAnsi="Consolas"/>
          <w:color w:val="000000"/>
          <w:sz w:val="50"/>
        </w:rPr>
        <w:t>4. Kinds of claim</w:t>
      </w:r>
    </w:p>
    <w:p>
      <w:pPr>
        <w:pStyle w:val="Normal"/>
        <w:numPr>
          <w:ilvl w:val="1"/>
          <w:numId w:val="2"/>
        </w:numPr>
        <w:bidi w:val="0"/>
        <w:ind w:hanging="400" w:left="400"/>
        <w:jc w:val="left"/>
        <w:rPr>
          <w:rFonts w:ascii="Consolas" w:hAnsi="Consolas"/>
          <w:color w:val="000000"/>
          <w:sz w:val="22"/>
        </w:rPr>
      </w:pPr>
      <w:r>
        <w:rPr>
          <w:rFonts w:ascii="Consolas" w:hAnsi="Consolas"/>
          <w:b/>
          <w:color w:val="000000"/>
          <w:sz w:val="22"/>
        </w:rPr>
        <w:t>Direct:</w:t>
      </w:r>
      <w:r>
        <w:rPr>
          <w:rFonts w:ascii="Consolas" w:hAnsi="Consolas"/>
          <w:color w:val="000000"/>
          <w:sz w:val="22"/>
        </w:rPr>
        <w:t xml:space="preserve"> the grant reaches an audience itself. Use the formulas above.</w:t>
      </w:r>
    </w:p>
    <w:p>
      <w:pPr>
        <w:pStyle w:val="Normal"/>
        <w:numPr>
          <w:ilvl w:val="1"/>
          <w:numId w:val="2"/>
        </w:numPr>
        <w:bidi w:val="0"/>
        <w:ind w:hanging="400" w:left="400"/>
        <w:jc w:val="left"/>
        <w:rPr>
          <w:rFonts w:ascii="Consolas" w:hAnsi="Consolas"/>
          <w:color w:val="000000"/>
          <w:sz w:val="22"/>
        </w:rPr>
      </w:pPr>
      <w:r>
        <w:rPr>
          <w:rFonts w:ascii="Consolas" w:hAnsi="Consolas"/>
          <w:b/>
          <w:color w:val="000000"/>
          <w:sz w:val="22"/>
        </w:rPr>
        <w:t>Relay:</w:t>
      </w:r>
      <w:r>
        <w:rPr>
          <w:rFonts w:ascii="Consolas" w:hAnsi="Consolas"/>
          <w:color w:val="000000"/>
          <w:sz w:val="22"/>
        </w:rPr>
        <w:t xml:space="preserve"> the grant changes what a communicator produces. Value = (the communicator's channel value × the extra goal-relevant output caused) × cf. Estimate the extra output concretely (pieces × audience). At most two hops.</w:t>
      </w:r>
    </w:p>
    <w:p>
      <w:pPr>
        <w:pStyle w:val="Normal"/>
        <w:numPr>
          <w:ilvl w:val="1"/>
          <w:numId w:val="2"/>
        </w:numPr>
        <w:bidi w:val="0"/>
        <w:ind w:hanging="400" w:left="400"/>
        <w:jc w:val="left"/>
        <w:rPr>
          <w:rFonts w:ascii="Consolas" w:hAnsi="Consolas"/>
          <w:color w:val="000000"/>
          <w:sz w:val="22"/>
        </w:rPr>
      </w:pPr>
      <w:r>
        <w:rPr>
          <w:rFonts w:ascii="Consolas" w:hAnsi="Consolas"/>
          <w:b/>
          <w:color w:val="000000"/>
          <w:sz w:val="22"/>
        </w:rPr>
        <w:t>Volume:</w:t>
      </w:r>
      <w:r>
        <w:rPr>
          <w:rFonts w:ascii="Consolas" w:hAnsi="Consolas"/>
          <w:color w:val="000000"/>
          <w:sz w:val="22"/>
        </w:rPr>
        <w:t xml:space="preserve"> the grant keeps an existing channel running. Value = channel's annual PERCYs × attributable share × years. Shares across all funders of one channel sum to ≤ 1.</w:t>
      </w:r>
    </w:p>
    <w:p>
      <w:pPr>
        <w:pStyle w:val="Normal"/>
        <w:numPr>
          <w:ilvl w:val="1"/>
          <w:numId w:val="2"/>
        </w:numPr>
        <w:bidi w:val="0"/>
        <w:ind w:hanging="400" w:left="400"/>
        <w:jc w:val="left"/>
        <w:rPr>
          <w:rFonts w:ascii="Consolas" w:hAnsi="Consolas"/>
          <w:color w:val="000000"/>
          <w:sz w:val="22"/>
        </w:rPr>
      </w:pPr>
      <w:r>
        <w:rPr>
          <w:rFonts w:ascii="Consolas" w:hAnsi="Consolas"/>
          <w:b/>
          <w:color w:val="000000"/>
          <w:sz w:val="22"/>
        </w:rPr>
        <w:t>Pipeline (P):</w:t>
      </w:r>
      <w:r>
        <w:rPr>
          <w:rFonts w:ascii="Consolas" w:hAnsi="Consolas"/>
          <w:color w:val="000000"/>
          <w:sz w:val="22"/>
        </w:rPr>
        <w:t xml:space="preserve"> programs that create communicators. Forecast the alumni's total goal-relevant output (views, reads, people in roles), including the chance of a breakout, and convert using a comparable channel's PERCYs per unit of output (field layer only): short-form video ≈ 6 per 1,000 views; long-form video ≈ 16 per 1,000 views; newsletter ≈ 47 per 1,000 reads; one person in a lab or policy role ≈ 1,500 per person-year. Multiply by years of continued output and the program's share of each alumnus's existence as a communicator.</w:t>
      </w:r>
    </w:p>
    <w:p>
      <w:pPr>
        <w:pStyle w:val="Normal"/>
        <w:bidi w:val="0"/>
        <w:jc w:val="left"/>
        <w:rPr>
          <w:rFonts w:ascii="Consolas" w:hAnsi="Consolas"/>
          <w:color w:val="000000"/>
          <w:sz w:val="50"/>
        </w:rPr>
      </w:pPr>
      <w:r>
        <w:rPr>
          <w:rFonts w:ascii="Consolas" w:hAnsi="Consolas"/>
          <w:color w:val="000000"/>
          <w:sz w:val="50"/>
        </w:rPr>
        <w:t>5. Rules that most often change the answer</w:t>
      </w:r>
    </w:p>
    <w:p>
      <w:pPr>
        <w:pStyle w:val="Normal"/>
        <w:numPr>
          <w:ilvl w:val="1"/>
          <w:numId w:val="3"/>
        </w:numPr>
        <w:bidi w:val="0"/>
        <w:ind w:hanging="400" w:left="400"/>
        <w:jc w:val="left"/>
        <w:rPr>
          <w:rFonts w:ascii="Consolas" w:hAnsi="Consolas"/>
          <w:color w:val="000000"/>
          <w:sz w:val="22"/>
        </w:rPr>
      </w:pPr>
      <w:r>
        <w:rPr>
          <w:rFonts w:ascii="Consolas" w:hAnsi="Consolas"/>
          <w:b/>
          <w:color w:val="000000"/>
          <w:sz w:val="22"/>
        </w:rPr>
        <w:t>Split a channel's audience into a returning core (Sustained) and a drive-by tail (Glance or Long-form by piece length).</w:t>
      </w:r>
      <w:r>
        <w:rPr>
          <w:rFonts w:ascii="Consolas" w:hAnsi="Consolas"/>
          <w:color w:val="000000"/>
          <w:sz w:val="22"/>
        </w:rPr>
        <w:t xml:space="preserve"> Split both Δ and Y; never blend.</w:t>
      </w:r>
    </w:p>
    <w:p>
      <w:pPr>
        <w:pStyle w:val="Normal"/>
        <w:numPr>
          <w:ilvl w:val="1"/>
          <w:numId w:val="3"/>
        </w:numPr>
        <w:bidi w:val="0"/>
        <w:ind w:hanging="400" w:left="400"/>
        <w:jc w:val="left"/>
        <w:rPr>
          <w:rFonts w:ascii="Consolas" w:hAnsi="Consolas"/>
          <w:color w:val="000000"/>
          <w:sz w:val="22"/>
        </w:rPr>
      </w:pPr>
      <w:r>
        <w:rPr>
          <w:rFonts w:ascii="Consolas" w:hAnsi="Consolas"/>
          <w:b/>
          <w:color w:val="000000"/>
          <w:sz w:val="22"/>
        </w:rPr>
        <w:t>Count unique people,</w:t>
      </w:r>
      <w:r>
        <w:rPr>
          <w:rFonts w:ascii="Consolas" w:hAnsi="Consolas"/>
          <w:color w:val="000000"/>
          <w:sz w:val="22"/>
        </w:rPr>
        <w:t xml:space="preserve"> not views. Borrowed reach (a guest spot) is Glance or Long-form, never Sustained.</w:t>
      </w:r>
    </w:p>
    <w:p>
      <w:pPr>
        <w:pStyle w:val="Normal"/>
        <w:numPr>
          <w:ilvl w:val="1"/>
          <w:numId w:val="3"/>
        </w:numPr>
        <w:bidi w:val="0"/>
        <w:ind w:hanging="400" w:left="400"/>
        <w:jc w:val="left"/>
        <w:rPr>
          <w:rFonts w:ascii="Consolas" w:hAnsi="Consolas"/>
          <w:color w:val="000000"/>
          <w:sz w:val="22"/>
        </w:rPr>
      </w:pPr>
      <w:r>
        <w:rPr>
          <w:rFonts w:ascii="Consolas" w:hAnsi="Consolas"/>
          <w:b/>
          <w:color w:val="000000"/>
          <w:sz w:val="22"/>
        </w:rPr>
        <w:t>Uncertain future events</w:t>
      </w:r>
      <w:r>
        <w:rPr>
          <w:rFonts w:ascii="Consolas" w:hAnsi="Consolas"/>
          <w:color w:val="000000"/>
          <w:sz w:val="22"/>
        </w:rPr>
        <w:t xml:space="preserve"> (will the film get distribution; will cohorts run) are forecast questions. Research base rates rather than taking the applicant's word, and report any single gate carrying over half the value.</w:t>
      </w:r>
    </w:p>
    <w:p>
      <w:pPr>
        <w:pStyle w:val="Normal"/>
        <w:numPr>
          <w:ilvl w:val="1"/>
          <w:numId w:val="3"/>
        </w:numPr>
        <w:bidi w:val="0"/>
        <w:ind w:hanging="400" w:left="400"/>
        <w:jc w:val="left"/>
        <w:rPr>
          <w:rFonts w:ascii="Consolas" w:hAnsi="Consolas"/>
          <w:color w:val="000000"/>
          <w:sz w:val="22"/>
        </w:rPr>
      </w:pPr>
      <w:r>
        <w:rPr>
          <w:rFonts w:ascii="Consolas" w:hAnsi="Consolas"/>
          <w:b/>
          <w:color w:val="000000"/>
          <w:sz w:val="22"/>
        </w:rPr>
        <w:t>Volume vs direct:</w:t>
      </w:r>
      <w:r>
        <w:rPr>
          <w:rFonts w:ascii="Consolas" w:hAnsi="Consolas"/>
          <w:color w:val="000000"/>
          <w:sz w:val="22"/>
        </w:rPr>
        <w:t xml:space="preserve"> if the output would continue without the grant, it's a volume claim with an attributable share; if it wouldn't exist, it's direct with cf. State which.</w:t>
      </w:r>
    </w:p>
    <w:p>
      <w:pPr>
        <w:pStyle w:val="Normal"/>
        <w:numPr>
          <w:ilvl w:val="1"/>
          <w:numId w:val="3"/>
        </w:numPr>
        <w:bidi w:val="0"/>
        <w:ind w:hanging="400" w:left="400"/>
        <w:jc w:val="left"/>
        <w:rPr>
          <w:rFonts w:ascii="Consolas" w:hAnsi="Consolas"/>
          <w:color w:val="000000"/>
          <w:sz w:val="22"/>
        </w:rPr>
      </w:pPr>
      <w:r>
        <w:rPr>
          <w:rFonts w:ascii="Consolas" w:hAnsi="Consolas"/>
          <w:b/>
          <w:color w:val="000000"/>
          <w:sz w:val="22"/>
        </w:rPr>
        <w:t>Coverage:</w:t>
      </w:r>
      <w:r>
        <w:rPr>
          <w:rFonts w:ascii="Consolas" w:hAnsi="Consolas"/>
          <w:color w:val="000000"/>
          <w:sz w:val="22"/>
        </w:rPr>
        <w:t xml:space="preserve"> state what share of the grant's theory of change your rows price. If it's mostly not opinion change (community, art, infrastructure) or mostly runs through unnamed senior people, say the total is a floor.</w:t>
      </w:r>
    </w:p>
    <w:p>
      <w:pPr>
        <w:pStyle w:val="Normal"/>
        <w:bidi w:val="0"/>
        <w:jc w:val="left"/>
        <w:rPr>
          <w:rFonts w:ascii="Consolas" w:hAnsi="Consolas"/>
          <w:color w:val="000000"/>
          <w:sz w:val="50"/>
        </w:rPr>
      </w:pPr>
      <w:r>
        <w:rPr>
          <w:rFonts w:ascii="Consolas" w:hAnsi="Consolas"/>
          <w:color w:val="000000"/>
          <w:sz w:val="50"/>
        </w:rPr>
        <w:t>6. Worked examples (correct calculations)</w:t>
      </w:r>
    </w:p>
    <w:p>
      <w:pPr>
        <w:pStyle w:val="Normal"/>
        <w:bidi w:val="0"/>
        <w:jc w:val="left"/>
        <w:rPr>
          <w:rFonts w:ascii="Consolas" w:hAnsi="Consolas"/>
          <w:color w:val="000000"/>
          <w:sz w:val="22"/>
        </w:rPr>
      </w:pPr>
      <w:r>
        <w:rPr>
          <w:rFonts w:ascii="Consolas" w:hAnsi="Consolas"/>
          <w:b/>
          <w:color w:val="000000"/>
          <w:sz w:val="22"/>
        </w:rPr>
        <w:t>A. Rob Miles, one year (reference channel; cf = 1).</w:t>
      </w:r>
      <w:r>
        <w:rPr>
          <w:rFonts w:ascii="Consolas" w:hAnsi="Consolas"/>
          <w:color w:val="000000"/>
          <w:sz w:val="22"/>
        </w:rPr>
        <w:t xml:space="preserve"> 650,000 unique viewers; 26% returning.</w:t>
      </w:r>
    </w:p>
    <w:tbl>
      <w:tblPr>
        <w:tblW w:w="24150" w:type="dxa"/>
        <w:jc w:val="left"/>
        <w:tblInd w:w="180" w:type="dxa"/>
        <w:tblLayout w:type="fixed"/>
        <w:tblCellMar>
          <w:top w:w="0" w:type="dxa"/>
          <w:left w:w="180" w:type="dxa"/>
          <w:bottom w:w="0" w:type="dxa"/>
          <w:right w:w="180" w:type="dxa"/>
        </w:tblCellMar>
      </w:tblPr>
      <w:tblGrid>
        <w:gridCol w:w="8050"/>
        <w:gridCol w:w="8050"/>
        <w:gridCol w:w="8050"/>
      </w:tblGrid>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Row</w:t>
            </w:r>
          </w:p>
        </w:tc>
        <w:tc>
          <w:tcPr>
            <w:tcW w:w="8050" w:type="dxa"/>
            <w:tcBorders/>
            <w:vAlign w:val="center"/>
          </w:tcPr>
          <w:p>
            <w:pPr>
              <w:pStyle w:val="Normal"/>
              <w:tabs>
                <w:tab w:val="clear" w:pos="709"/>
              </w:tabs>
              <w:bidi w:val="0"/>
              <w:jc w:val="left"/>
              <w:rPr/>
            </w:pPr>
            <w:r>
              <w:rPr>
                <w:rFonts w:ascii="Consolas" w:hAnsi="Consolas"/>
                <w:color w:val="000000"/>
                <w:sz w:val="22"/>
              </w:rPr>
              <w:t>Calculation</w:t>
            </w:r>
          </w:p>
        </w:tc>
        <w:tc>
          <w:tcPr>
            <w:tcW w:w="8050" w:type="dxa"/>
            <w:tcBorders/>
            <w:vAlign w:val="center"/>
          </w:tcPr>
          <w:p>
            <w:pPr>
              <w:pStyle w:val="Normal"/>
              <w:tabs>
                <w:tab w:val="clear" w:pos="709"/>
              </w:tabs>
              <w:bidi w:val="0"/>
              <w:jc w:val="left"/>
              <w:rPr/>
            </w:pPr>
            <w:r>
              <w:rPr>
                <w:rFonts w:ascii="Consolas" w:hAnsi="Consolas"/>
                <w:color w:val="000000"/>
                <w:sz w:val="22"/>
              </w:rPr>
              <w:t>PERCYs</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F core (169,000, Engaged, Sustained)</w:t>
            </w:r>
          </w:p>
        </w:tc>
        <w:tc>
          <w:tcPr>
            <w:tcW w:w="8050" w:type="dxa"/>
            <w:tcBorders/>
            <w:vAlign w:val="center"/>
          </w:tcPr>
          <w:p>
            <w:pPr>
              <w:pStyle w:val="Normal"/>
              <w:tabs>
                <w:tab w:val="clear" w:pos="709"/>
              </w:tabs>
              <w:bidi w:val="0"/>
              <w:jc w:val="left"/>
              <w:rPr/>
            </w:pPr>
            <w:r>
              <w:rPr>
                <w:rFonts w:ascii="Consolas" w:hAnsi="Consolas"/>
                <w:color w:val="000000"/>
                <w:sz w:val="22"/>
              </w:rPr>
              <w:t>169,000 × 3 × 0.12 × 3</w:t>
            </w:r>
          </w:p>
        </w:tc>
        <w:tc>
          <w:tcPr>
            <w:tcW w:w="8050" w:type="dxa"/>
            <w:tcBorders/>
            <w:vAlign w:val="center"/>
          </w:tcPr>
          <w:p>
            <w:pPr>
              <w:pStyle w:val="Normal"/>
              <w:tabs>
                <w:tab w:val="clear" w:pos="709"/>
              </w:tabs>
              <w:bidi w:val="0"/>
              <w:jc w:val="left"/>
              <w:rPr/>
            </w:pPr>
            <w:r>
              <w:rPr>
                <w:rFonts w:ascii="Consolas" w:hAnsi="Consolas"/>
                <w:color w:val="000000"/>
                <w:sz w:val="22"/>
              </w:rPr>
              <w:t>182,520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F tail (481,000, Engaged, Long-form)</w:t>
            </w:r>
          </w:p>
        </w:tc>
        <w:tc>
          <w:tcPr>
            <w:tcW w:w="8050" w:type="dxa"/>
            <w:tcBorders/>
            <w:vAlign w:val="center"/>
          </w:tcPr>
          <w:p>
            <w:pPr>
              <w:pStyle w:val="Normal"/>
              <w:tabs>
                <w:tab w:val="clear" w:pos="709"/>
              </w:tabs>
              <w:bidi w:val="0"/>
              <w:jc w:val="left"/>
              <w:rPr/>
            </w:pPr>
            <w:r>
              <w:rPr>
                <w:rFonts w:ascii="Consolas" w:hAnsi="Consolas"/>
                <w:color w:val="000000"/>
                <w:sz w:val="22"/>
              </w:rPr>
              <w:t>481,000 × 3 × 0.04 × 1</w:t>
            </w:r>
          </w:p>
        </w:tc>
        <w:tc>
          <w:tcPr>
            <w:tcW w:w="8050" w:type="dxa"/>
            <w:tcBorders/>
            <w:vAlign w:val="center"/>
          </w:tcPr>
          <w:p>
            <w:pPr>
              <w:pStyle w:val="Normal"/>
              <w:tabs>
                <w:tab w:val="clear" w:pos="709"/>
              </w:tabs>
              <w:bidi w:val="0"/>
              <w:jc w:val="left"/>
              <w:rPr/>
            </w:pPr>
            <w:r>
              <w:rPr>
                <w:rFonts w:ascii="Consolas" w:hAnsi="Consolas"/>
                <w:color w:val="000000"/>
                <w:sz w:val="22"/>
              </w:rPr>
              <w:t>57,720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E lab staff (3,000 monthly)</w:t>
            </w:r>
          </w:p>
        </w:tc>
        <w:tc>
          <w:tcPr>
            <w:tcW w:w="8050" w:type="dxa"/>
            <w:tcBorders/>
            <w:vAlign w:val="center"/>
          </w:tcPr>
          <w:p>
            <w:pPr>
              <w:pStyle w:val="Normal"/>
              <w:tabs>
                <w:tab w:val="clear" w:pos="709"/>
              </w:tabs>
              <w:bidi w:val="0"/>
              <w:jc w:val="left"/>
              <w:rPr/>
            </w:pPr>
            <w:r>
              <w:rPr>
                <w:rFonts w:ascii="Consolas" w:hAnsi="Consolas"/>
                <w:color w:val="000000"/>
                <w:sz w:val="22"/>
              </w:rPr>
              <w:t>3,000 × 3,000 × 0.06 × 3</w:t>
            </w:r>
          </w:p>
        </w:tc>
        <w:tc>
          <w:tcPr>
            <w:tcW w:w="8050" w:type="dxa"/>
            <w:tcBorders/>
            <w:vAlign w:val="center"/>
          </w:tcPr>
          <w:p>
            <w:pPr>
              <w:pStyle w:val="Normal"/>
              <w:tabs>
                <w:tab w:val="clear" w:pos="709"/>
              </w:tabs>
              <w:bidi w:val="0"/>
              <w:jc w:val="left"/>
              <w:rPr/>
            </w:pPr>
            <w:r>
              <w:rPr>
                <w:rFonts w:ascii="Consolas" w:hAnsi="Consolas"/>
                <w:color w:val="000000"/>
                <w:sz w:val="22"/>
              </w:rPr>
              <w:t>1,620,000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E journalists (100 monthly)</w:t>
            </w:r>
          </w:p>
        </w:tc>
        <w:tc>
          <w:tcPr>
            <w:tcW w:w="8050" w:type="dxa"/>
            <w:tcBorders/>
            <w:vAlign w:val="center"/>
          </w:tcPr>
          <w:p>
            <w:pPr>
              <w:pStyle w:val="Normal"/>
              <w:tabs>
                <w:tab w:val="clear" w:pos="709"/>
              </w:tabs>
              <w:bidi w:val="0"/>
              <w:jc w:val="left"/>
              <w:rPr/>
            </w:pPr>
            <w:r>
              <w:rPr>
                <w:rFonts w:ascii="Consolas" w:hAnsi="Consolas"/>
                <w:color w:val="000000"/>
                <w:sz w:val="22"/>
              </w:rPr>
              <w:t>100 × 10,000 × 0.04 × 3</w:t>
            </w:r>
          </w:p>
        </w:tc>
        <w:tc>
          <w:tcPr>
            <w:tcW w:w="8050" w:type="dxa"/>
            <w:tcBorders/>
            <w:vAlign w:val="center"/>
          </w:tcPr>
          <w:p>
            <w:pPr>
              <w:pStyle w:val="Normal"/>
              <w:tabs>
                <w:tab w:val="clear" w:pos="709"/>
              </w:tabs>
              <w:bidi w:val="0"/>
              <w:jc w:val="left"/>
              <w:rPr/>
            </w:pPr>
            <w:r>
              <w:rPr>
                <w:rFonts w:ascii="Consolas" w:hAnsi="Consolas"/>
                <w:color w:val="000000"/>
                <w:sz w:val="22"/>
              </w:rPr>
              <w:t>120,000</w:t>
            </w:r>
          </w:p>
        </w:tc>
      </w:tr>
      <w:tr>
        <w:trPr>
          <w:trHeight w:val="600" w:hRule="atLeast"/>
        </w:trPr>
        <w:tc>
          <w:tcPr>
            <w:tcW w:w="8050" w:type="dxa"/>
            <w:tcBorders/>
            <w:vAlign w:val="center"/>
          </w:tcPr>
          <w:p>
            <w:pPr>
              <w:pStyle w:val="Normal"/>
              <w:tabs>
                <w:tab w:val="clear" w:pos="709"/>
              </w:tabs>
              <w:bidi w:val="0"/>
              <w:jc w:val="left"/>
              <w:rPr/>
            </w:pPr>
            <w:r>
              <w:rPr>
                <w:rFonts w:ascii="Consolas" w:hAnsi="Consolas"/>
                <w:b/>
                <w:color w:val="000000"/>
                <w:sz w:val="22"/>
              </w:rPr>
              <w:t>Total</w:t>
            </w:r>
          </w:p>
        </w:tc>
        <w:tc>
          <w:tcPr>
            <w:tcW w:w="8050" w:type="dxa"/>
            <w:tcBorders/>
            <w:vAlign w:val="center"/>
          </w:tcPr>
          <w:p>
            <w:pPr>
              <w:pStyle w:val="Normal"/>
              <w:tabs>
                <w:tab w:val="clear" w:pos="709"/>
              </w:tabs>
              <w:bidi w:val="0"/>
              <w:jc w:val="left"/>
              <w:rPr>
                <w:rFonts w:ascii="Consolas" w:hAnsi="Consolas"/>
                <w:color w:val="000000"/>
                <w:sz w:val="22"/>
              </w:rPr>
            </w:pPr>
            <w:r>
              <w:rPr>
                <w:rFonts w:ascii="Consolas" w:hAnsi="Consolas"/>
                <w:color w:val="000000"/>
                <w:sz w:val="22"/>
              </w:rPr>
            </w:r>
          </w:p>
        </w:tc>
        <w:tc>
          <w:tcPr>
            <w:tcW w:w="8050" w:type="dxa"/>
            <w:tcBorders/>
            <w:vAlign w:val="center"/>
          </w:tcPr>
          <w:p>
            <w:pPr>
              <w:pStyle w:val="Normal"/>
              <w:tabs>
                <w:tab w:val="clear" w:pos="709"/>
              </w:tabs>
              <w:bidi w:val="0"/>
              <w:jc w:val="left"/>
              <w:rPr/>
            </w:pPr>
            <w:r>
              <w:rPr>
                <w:rFonts w:ascii="Consolas" w:hAnsi="Consolas"/>
                <w:b/>
                <w:color w:val="000000"/>
                <w:sz w:val="22"/>
              </w:rPr>
              <w:t>≈</w:t>
            </w:r>
            <w:r>
              <w:rPr>
                <w:rFonts w:ascii="Consolas" w:hAnsi="Consolas"/>
                <w:b/>
                <w:color w:val="000000"/>
                <w:sz w:val="22"/>
              </w:rPr>
              <w:t>1.98M (≈2,400 utility)</w:t>
            </w:r>
          </w:p>
        </w:tc>
      </w:tr>
    </w:tbl>
    <w:p>
      <w:pPr>
        <w:pStyle w:val="Normal"/>
        <w:bidi w:val="0"/>
        <w:jc w:val="left"/>
        <w:rPr>
          <w:rFonts w:ascii="Consolas" w:hAnsi="Consolas"/>
          <w:color w:val="000000"/>
          <w:sz w:val="22"/>
        </w:rPr>
      </w:pPr>
      <w:r>
        <w:rPr>
          <w:rFonts w:ascii="Consolas" w:hAnsi="Consolas"/>
          <w:color w:val="000000"/>
          <w:sz w:val="22"/>
        </w:rPr>
        <w:t>E exceeds F here, as it does for most text, audio and technical channels.</w:t>
      </w:r>
    </w:p>
    <w:p>
      <w:pPr>
        <w:pStyle w:val="Normal"/>
        <w:bidi w:val="0"/>
        <w:jc w:val="left"/>
        <w:rPr>
          <w:rFonts w:ascii="Consolas" w:hAnsi="Consolas"/>
          <w:color w:val="000000"/>
          <w:sz w:val="22"/>
        </w:rPr>
      </w:pPr>
      <w:r>
        <w:rPr>
          <w:rFonts w:ascii="Consolas" w:hAnsi="Consolas"/>
          <w:b/>
          <w:color w:val="000000"/>
          <w:sz w:val="22"/>
        </w:rPr>
        <w:t>B. ACX, one year (reference channel).</w:t>
      </w:r>
      <w:r>
        <w:rPr>
          <w:rFonts w:ascii="Consolas" w:hAnsi="Consolas"/>
          <w:color w:val="000000"/>
          <w:sz w:val="22"/>
        </w:rPr>
        <w:t xml:space="preserve"> 300,000 unique readers; 33% returning; whole readership Professional-adjacent.</w:t>
      </w:r>
    </w:p>
    <w:tbl>
      <w:tblPr>
        <w:tblW w:w="24150" w:type="dxa"/>
        <w:jc w:val="left"/>
        <w:tblInd w:w="180" w:type="dxa"/>
        <w:tblLayout w:type="fixed"/>
        <w:tblCellMar>
          <w:top w:w="0" w:type="dxa"/>
          <w:left w:w="180" w:type="dxa"/>
          <w:bottom w:w="0" w:type="dxa"/>
          <w:right w:w="180" w:type="dxa"/>
        </w:tblCellMar>
      </w:tblPr>
      <w:tblGrid>
        <w:gridCol w:w="8050"/>
        <w:gridCol w:w="8050"/>
        <w:gridCol w:w="8050"/>
      </w:tblGrid>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Row</w:t>
            </w:r>
          </w:p>
        </w:tc>
        <w:tc>
          <w:tcPr>
            <w:tcW w:w="8050" w:type="dxa"/>
            <w:tcBorders/>
            <w:vAlign w:val="center"/>
          </w:tcPr>
          <w:p>
            <w:pPr>
              <w:pStyle w:val="Normal"/>
              <w:tabs>
                <w:tab w:val="clear" w:pos="709"/>
              </w:tabs>
              <w:bidi w:val="0"/>
              <w:jc w:val="left"/>
              <w:rPr/>
            </w:pPr>
            <w:r>
              <w:rPr>
                <w:rFonts w:ascii="Consolas" w:hAnsi="Consolas"/>
                <w:color w:val="000000"/>
                <w:sz w:val="22"/>
              </w:rPr>
              <w:t>Calculation</w:t>
            </w:r>
          </w:p>
        </w:tc>
        <w:tc>
          <w:tcPr>
            <w:tcW w:w="8050" w:type="dxa"/>
            <w:tcBorders/>
            <w:vAlign w:val="center"/>
          </w:tcPr>
          <w:p>
            <w:pPr>
              <w:pStyle w:val="Normal"/>
              <w:tabs>
                <w:tab w:val="clear" w:pos="709"/>
              </w:tabs>
              <w:bidi w:val="0"/>
              <w:jc w:val="left"/>
              <w:rPr/>
            </w:pPr>
            <w:r>
              <w:rPr>
                <w:rFonts w:ascii="Consolas" w:hAnsi="Consolas"/>
                <w:color w:val="000000"/>
                <w:sz w:val="22"/>
              </w:rPr>
              <w:t>PERCYs</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F core (99,000, Sustained)</w:t>
            </w:r>
          </w:p>
        </w:tc>
        <w:tc>
          <w:tcPr>
            <w:tcW w:w="8050" w:type="dxa"/>
            <w:tcBorders/>
            <w:vAlign w:val="center"/>
          </w:tcPr>
          <w:p>
            <w:pPr>
              <w:pStyle w:val="Normal"/>
              <w:tabs>
                <w:tab w:val="clear" w:pos="709"/>
              </w:tabs>
              <w:bidi w:val="0"/>
              <w:jc w:val="left"/>
              <w:rPr/>
            </w:pPr>
            <w:r>
              <w:rPr>
                <w:rFonts w:ascii="Consolas" w:hAnsi="Consolas"/>
                <w:color w:val="000000"/>
                <w:sz w:val="22"/>
              </w:rPr>
              <w:t>99,000 × 10 × 0.15 × 3</w:t>
            </w:r>
          </w:p>
        </w:tc>
        <w:tc>
          <w:tcPr>
            <w:tcW w:w="8050" w:type="dxa"/>
            <w:tcBorders/>
            <w:vAlign w:val="center"/>
          </w:tcPr>
          <w:p>
            <w:pPr>
              <w:pStyle w:val="Normal"/>
              <w:tabs>
                <w:tab w:val="clear" w:pos="709"/>
              </w:tabs>
              <w:bidi w:val="0"/>
              <w:jc w:val="left"/>
              <w:rPr/>
            </w:pPr>
            <w:r>
              <w:rPr>
                <w:rFonts w:ascii="Consolas" w:hAnsi="Consolas"/>
                <w:color w:val="000000"/>
                <w:sz w:val="22"/>
              </w:rPr>
              <w:t>445,500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F tail (201,000, Glance)</w:t>
            </w:r>
          </w:p>
        </w:tc>
        <w:tc>
          <w:tcPr>
            <w:tcW w:w="8050" w:type="dxa"/>
            <w:tcBorders/>
            <w:vAlign w:val="center"/>
          </w:tcPr>
          <w:p>
            <w:pPr>
              <w:pStyle w:val="Normal"/>
              <w:tabs>
                <w:tab w:val="clear" w:pos="709"/>
              </w:tabs>
              <w:bidi w:val="0"/>
              <w:jc w:val="left"/>
              <w:rPr/>
            </w:pPr>
            <w:r>
              <w:rPr>
                <w:rFonts w:ascii="Consolas" w:hAnsi="Consolas"/>
                <w:color w:val="000000"/>
                <w:sz w:val="22"/>
              </w:rPr>
              <w:t>201,000 × 10 × 0.02 × 0.5</w:t>
            </w:r>
          </w:p>
        </w:tc>
        <w:tc>
          <w:tcPr>
            <w:tcW w:w="8050" w:type="dxa"/>
            <w:tcBorders/>
            <w:vAlign w:val="center"/>
          </w:tcPr>
          <w:p>
            <w:pPr>
              <w:pStyle w:val="Normal"/>
              <w:tabs>
                <w:tab w:val="clear" w:pos="709"/>
              </w:tabs>
              <w:bidi w:val="0"/>
              <w:jc w:val="left"/>
              <w:rPr/>
            </w:pPr>
            <w:r>
              <w:rPr>
                <w:rFonts w:ascii="Consolas" w:hAnsi="Consolas"/>
                <w:color w:val="000000"/>
                <w:sz w:val="22"/>
              </w:rPr>
              <w:t>20,100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E lab staff (4,000)</w:t>
            </w:r>
          </w:p>
        </w:tc>
        <w:tc>
          <w:tcPr>
            <w:tcW w:w="8050" w:type="dxa"/>
            <w:tcBorders/>
            <w:vAlign w:val="center"/>
          </w:tcPr>
          <w:p>
            <w:pPr>
              <w:pStyle w:val="Normal"/>
              <w:tabs>
                <w:tab w:val="clear" w:pos="709"/>
              </w:tabs>
              <w:bidi w:val="0"/>
              <w:jc w:val="left"/>
              <w:rPr/>
            </w:pPr>
            <w:r>
              <w:rPr>
                <w:rFonts w:ascii="Consolas" w:hAnsi="Consolas"/>
                <w:color w:val="000000"/>
                <w:sz w:val="22"/>
              </w:rPr>
              <w:t>4,000 × 3,000 × 0.12 × 3</w:t>
            </w:r>
          </w:p>
        </w:tc>
        <w:tc>
          <w:tcPr>
            <w:tcW w:w="8050" w:type="dxa"/>
            <w:tcBorders/>
            <w:vAlign w:val="center"/>
          </w:tcPr>
          <w:p>
            <w:pPr>
              <w:pStyle w:val="Normal"/>
              <w:tabs>
                <w:tab w:val="clear" w:pos="709"/>
              </w:tabs>
              <w:bidi w:val="0"/>
              <w:jc w:val="left"/>
              <w:rPr/>
            </w:pPr>
            <w:r>
              <w:rPr>
                <w:rFonts w:ascii="Consolas" w:hAnsi="Consolas"/>
                <w:color w:val="000000"/>
                <w:sz w:val="22"/>
              </w:rPr>
              <w:t>4,320,000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E journalists (250)</w:t>
            </w:r>
          </w:p>
        </w:tc>
        <w:tc>
          <w:tcPr>
            <w:tcW w:w="8050" w:type="dxa"/>
            <w:tcBorders/>
            <w:vAlign w:val="center"/>
          </w:tcPr>
          <w:p>
            <w:pPr>
              <w:pStyle w:val="Normal"/>
              <w:tabs>
                <w:tab w:val="clear" w:pos="709"/>
              </w:tabs>
              <w:bidi w:val="0"/>
              <w:jc w:val="left"/>
              <w:rPr/>
            </w:pPr>
            <w:r>
              <w:rPr>
                <w:rFonts w:ascii="Consolas" w:hAnsi="Consolas"/>
                <w:color w:val="000000"/>
                <w:sz w:val="22"/>
              </w:rPr>
              <w:t>250 × 10,000 × 0.10 × 3</w:t>
            </w:r>
          </w:p>
        </w:tc>
        <w:tc>
          <w:tcPr>
            <w:tcW w:w="8050" w:type="dxa"/>
            <w:tcBorders/>
            <w:vAlign w:val="center"/>
          </w:tcPr>
          <w:p>
            <w:pPr>
              <w:pStyle w:val="Normal"/>
              <w:tabs>
                <w:tab w:val="clear" w:pos="709"/>
              </w:tabs>
              <w:bidi w:val="0"/>
              <w:jc w:val="left"/>
              <w:rPr/>
            </w:pPr>
            <w:r>
              <w:rPr>
                <w:rFonts w:ascii="Consolas" w:hAnsi="Consolas"/>
                <w:color w:val="000000"/>
                <w:sz w:val="22"/>
              </w:rPr>
              <w:t>750,000</w:t>
            </w:r>
          </w:p>
        </w:tc>
      </w:tr>
      <w:tr>
        <w:trPr>
          <w:trHeight w:val="600" w:hRule="atLeast"/>
        </w:trPr>
        <w:tc>
          <w:tcPr>
            <w:tcW w:w="8050" w:type="dxa"/>
            <w:tcBorders/>
            <w:vAlign w:val="center"/>
          </w:tcPr>
          <w:p>
            <w:pPr>
              <w:pStyle w:val="Normal"/>
              <w:tabs>
                <w:tab w:val="clear" w:pos="709"/>
              </w:tabs>
              <w:bidi w:val="0"/>
              <w:jc w:val="left"/>
              <w:rPr/>
            </w:pPr>
            <w:r>
              <w:rPr>
                <w:rFonts w:ascii="Consolas" w:hAnsi="Consolas"/>
                <w:b/>
                <w:color w:val="000000"/>
                <w:sz w:val="22"/>
              </w:rPr>
              <w:t>Total</w:t>
            </w:r>
          </w:p>
        </w:tc>
        <w:tc>
          <w:tcPr>
            <w:tcW w:w="8050" w:type="dxa"/>
            <w:tcBorders/>
            <w:vAlign w:val="center"/>
          </w:tcPr>
          <w:p>
            <w:pPr>
              <w:pStyle w:val="Normal"/>
              <w:tabs>
                <w:tab w:val="clear" w:pos="709"/>
              </w:tabs>
              <w:bidi w:val="0"/>
              <w:jc w:val="left"/>
              <w:rPr>
                <w:rFonts w:ascii="Consolas" w:hAnsi="Consolas"/>
                <w:color w:val="000000"/>
                <w:sz w:val="22"/>
              </w:rPr>
            </w:pPr>
            <w:r>
              <w:rPr>
                <w:rFonts w:ascii="Consolas" w:hAnsi="Consolas"/>
                <w:color w:val="000000"/>
                <w:sz w:val="22"/>
              </w:rPr>
            </w:r>
          </w:p>
        </w:tc>
        <w:tc>
          <w:tcPr>
            <w:tcW w:w="8050" w:type="dxa"/>
            <w:tcBorders/>
            <w:vAlign w:val="center"/>
          </w:tcPr>
          <w:p>
            <w:pPr>
              <w:pStyle w:val="Normal"/>
              <w:tabs>
                <w:tab w:val="clear" w:pos="709"/>
              </w:tabs>
              <w:bidi w:val="0"/>
              <w:jc w:val="left"/>
              <w:rPr/>
            </w:pPr>
            <w:r>
              <w:rPr>
                <w:rFonts w:ascii="Consolas" w:hAnsi="Consolas"/>
                <w:b/>
                <w:color w:val="000000"/>
                <w:sz w:val="22"/>
              </w:rPr>
              <w:t>≈</w:t>
            </w:r>
            <w:r>
              <w:rPr>
                <w:rFonts w:ascii="Consolas" w:hAnsi="Consolas"/>
                <w:b/>
                <w:color w:val="000000"/>
                <w:sz w:val="22"/>
              </w:rPr>
              <w:t>5.5M (≈6,600 utility)</w:t>
            </w:r>
          </w:p>
        </w:tc>
      </w:tr>
    </w:tbl>
    <w:p>
      <w:pPr>
        <w:pStyle w:val="Normal"/>
        <w:bidi w:val="0"/>
        <w:jc w:val="left"/>
        <w:rPr>
          <w:rFonts w:ascii="Consolas" w:hAnsi="Consolas"/>
          <w:color w:val="000000"/>
          <w:sz w:val="22"/>
        </w:rPr>
      </w:pPr>
      <w:r>
        <w:rPr>
          <w:rFonts w:ascii="Consolas" w:hAnsi="Consolas"/>
          <w:b/>
          <w:color w:val="000000"/>
          <w:sz w:val="22"/>
        </w:rPr>
        <w:t>C. Short-form creator grant (direct claims).</w:t>
      </w:r>
    </w:p>
    <w:tbl>
      <w:tblPr>
        <w:tblW w:w="24150" w:type="dxa"/>
        <w:jc w:val="left"/>
        <w:tblInd w:w="180" w:type="dxa"/>
        <w:tblLayout w:type="fixed"/>
        <w:tblCellMar>
          <w:top w:w="0" w:type="dxa"/>
          <w:left w:w="180" w:type="dxa"/>
          <w:bottom w:w="0" w:type="dxa"/>
          <w:right w:w="180" w:type="dxa"/>
        </w:tblCellMar>
      </w:tblPr>
      <w:tblGrid>
        <w:gridCol w:w="8050"/>
        <w:gridCol w:w="8050"/>
        <w:gridCol w:w="8050"/>
      </w:tblGrid>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Row</w:t>
            </w:r>
          </w:p>
        </w:tc>
        <w:tc>
          <w:tcPr>
            <w:tcW w:w="8050" w:type="dxa"/>
            <w:tcBorders/>
            <w:vAlign w:val="center"/>
          </w:tcPr>
          <w:p>
            <w:pPr>
              <w:pStyle w:val="Normal"/>
              <w:tabs>
                <w:tab w:val="clear" w:pos="709"/>
              </w:tabs>
              <w:bidi w:val="0"/>
              <w:jc w:val="left"/>
              <w:rPr/>
            </w:pPr>
            <w:r>
              <w:rPr>
                <w:rFonts w:ascii="Consolas" w:hAnsi="Consolas"/>
                <w:color w:val="000000"/>
                <w:sz w:val="22"/>
              </w:rPr>
              <w:t>Calculation</w:t>
            </w:r>
          </w:p>
        </w:tc>
        <w:tc>
          <w:tcPr>
            <w:tcW w:w="8050" w:type="dxa"/>
            <w:tcBorders/>
            <w:vAlign w:val="center"/>
          </w:tcPr>
          <w:p>
            <w:pPr>
              <w:pStyle w:val="Normal"/>
              <w:tabs>
                <w:tab w:val="clear" w:pos="709"/>
              </w:tabs>
              <w:bidi w:val="0"/>
              <w:jc w:val="left"/>
              <w:rPr/>
            </w:pPr>
            <w:r>
              <w:rPr>
                <w:rFonts w:ascii="Consolas" w:hAnsi="Consolas"/>
                <w:color w:val="000000"/>
                <w:sz w:val="22"/>
              </w:rPr>
              <w:t>PERCYs</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Passive viewers (3.5M, General, Glance, cf 0.8)</w:t>
            </w:r>
          </w:p>
        </w:tc>
        <w:tc>
          <w:tcPr>
            <w:tcW w:w="8050" w:type="dxa"/>
            <w:tcBorders/>
            <w:vAlign w:val="center"/>
          </w:tcPr>
          <w:p>
            <w:pPr>
              <w:pStyle w:val="Normal"/>
              <w:tabs>
                <w:tab w:val="clear" w:pos="709"/>
              </w:tabs>
              <w:bidi w:val="0"/>
              <w:jc w:val="left"/>
              <w:rPr/>
            </w:pPr>
            <w:r>
              <w:rPr>
                <w:rFonts w:ascii="Consolas" w:hAnsi="Consolas"/>
                <w:color w:val="000000"/>
                <w:sz w:val="22"/>
              </w:rPr>
              <w:t>3,500,000 × 1 × 0.01 × 0.5 × 0.8</w:t>
            </w:r>
          </w:p>
        </w:tc>
        <w:tc>
          <w:tcPr>
            <w:tcW w:w="8050" w:type="dxa"/>
            <w:tcBorders/>
            <w:vAlign w:val="center"/>
          </w:tcPr>
          <w:p>
            <w:pPr>
              <w:pStyle w:val="Normal"/>
              <w:tabs>
                <w:tab w:val="clear" w:pos="709"/>
              </w:tabs>
              <w:bidi w:val="0"/>
              <w:jc w:val="left"/>
              <w:rPr/>
            </w:pPr>
            <w:r>
              <w:rPr>
                <w:rFonts w:ascii="Consolas" w:hAnsi="Consolas"/>
                <w:color w:val="000000"/>
                <w:sz w:val="22"/>
              </w:rPr>
              <w:t>14,000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Engaged viewers (160,000, Engaged, Long-form, cf 0.6)</w:t>
            </w:r>
          </w:p>
        </w:tc>
        <w:tc>
          <w:tcPr>
            <w:tcW w:w="8050" w:type="dxa"/>
            <w:tcBorders/>
            <w:vAlign w:val="center"/>
          </w:tcPr>
          <w:p>
            <w:pPr>
              <w:pStyle w:val="Normal"/>
              <w:tabs>
                <w:tab w:val="clear" w:pos="709"/>
              </w:tabs>
              <w:bidi w:val="0"/>
              <w:jc w:val="left"/>
              <w:rPr/>
            </w:pPr>
            <w:r>
              <w:rPr>
                <w:rFonts w:ascii="Consolas" w:hAnsi="Consolas"/>
                <w:color w:val="000000"/>
                <w:sz w:val="22"/>
              </w:rPr>
              <w:t>160,000 × 3 × 0.05 × 1 × 0.6</w:t>
            </w:r>
          </w:p>
        </w:tc>
        <w:tc>
          <w:tcPr>
            <w:tcW w:w="8050" w:type="dxa"/>
            <w:tcBorders/>
            <w:vAlign w:val="center"/>
          </w:tcPr>
          <w:p>
            <w:pPr>
              <w:pStyle w:val="Normal"/>
              <w:tabs>
                <w:tab w:val="clear" w:pos="709"/>
              </w:tabs>
              <w:bidi w:val="0"/>
              <w:jc w:val="left"/>
              <w:rPr/>
            </w:pPr>
            <w:r>
              <w:rPr>
                <w:rFonts w:ascii="Consolas" w:hAnsi="Consolas"/>
                <w:color w:val="000000"/>
                <w:sz w:val="22"/>
              </w:rPr>
              <w:t>14,400</w:t>
            </w:r>
          </w:p>
        </w:tc>
      </w:tr>
    </w:tbl>
    <w:p>
      <w:pPr>
        <w:pStyle w:val="Normal"/>
        <w:bidi w:val="0"/>
        <w:jc w:val="left"/>
        <w:rPr>
          <w:rFonts w:ascii="Consolas" w:hAnsi="Consolas"/>
          <w:color w:val="000000"/>
          <w:sz w:val="22"/>
        </w:rPr>
      </w:pPr>
      <w:r>
        <w:rPr>
          <w:rFonts w:ascii="Consolas" w:hAnsi="Consolas"/>
          <w:b/>
          <w:color w:val="000000"/>
          <w:sz w:val="22"/>
        </w:rPr>
        <w:t>D. A convening (direct room claim).</w:t>
      </w:r>
      <w:r>
        <w:rPr>
          <w:rFonts w:ascii="Consolas" w:hAnsi="Consolas"/>
          <w:color w:val="000000"/>
          <w:sz w:val="22"/>
        </w:rPr>
        <w:t xml:space="preserve"> 340 attendees at Field-insider, Long-form, Δ 0.07, cf 0.75, of whom 80 are lab staff and 40 journalists.</w:t>
      </w:r>
    </w:p>
    <w:tbl>
      <w:tblPr>
        <w:tblW w:w="24150" w:type="dxa"/>
        <w:jc w:val="left"/>
        <w:tblInd w:w="180" w:type="dxa"/>
        <w:tblLayout w:type="fixed"/>
        <w:tblCellMar>
          <w:top w:w="0" w:type="dxa"/>
          <w:left w:w="180" w:type="dxa"/>
          <w:bottom w:w="0" w:type="dxa"/>
          <w:right w:w="180" w:type="dxa"/>
        </w:tblCellMar>
      </w:tblPr>
      <w:tblGrid>
        <w:gridCol w:w="8050"/>
        <w:gridCol w:w="8050"/>
        <w:gridCol w:w="8050"/>
      </w:tblGrid>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Row</w:t>
            </w:r>
          </w:p>
        </w:tc>
        <w:tc>
          <w:tcPr>
            <w:tcW w:w="8050" w:type="dxa"/>
            <w:tcBorders/>
            <w:vAlign w:val="center"/>
          </w:tcPr>
          <w:p>
            <w:pPr>
              <w:pStyle w:val="Normal"/>
              <w:tabs>
                <w:tab w:val="clear" w:pos="709"/>
              </w:tabs>
              <w:bidi w:val="0"/>
              <w:jc w:val="left"/>
              <w:rPr/>
            </w:pPr>
            <w:r>
              <w:rPr>
                <w:rFonts w:ascii="Consolas" w:hAnsi="Consolas"/>
                <w:color w:val="000000"/>
                <w:sz w:val="22"/>
              </w:rPr>
              <w:t>Calculation</w:t>
            </w:r>
          </w:p>
        </w:tc>
        <w:tc>
          <w:tcPr>
            <w:tcW w:w="8050" w:type="dxa"/>
            <w:tcBorders/>
            <w:vAlign w:val="center"/>
          </w:tcPr>
          <w:p>
            <w:pPr>
              <w:pStyle w:val="Normal"/>
              <w:tabs>
                <w:tab w:val="clear" w:pos="709"/>
              </w:tabs>
              <w:bidi w:val="0"/>
              <w:jc w:val="left"/>
              <w:rPr/>
            </w:pPr>
            <w:r>
              <w:rPr>
                <w:rFonts w:ascii="Consolas" w:hAnsi="Consolas"/>
                <w:color w:val="000000"/>
                <w:sz w:val="22"/>
              </w:rPr>
              <w:t>PERCYs</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F (the other 220 attendees)</w:t>
            </w:r>
          </w:p>
        </w:tc>
        <w:tc>
          <w:tcPr>
            <w:tcW w:w="8050" w:type="dxa"/>
            <w:tcBorders/>
            <w:vAlign w:val="center"/>
          </w:tcPr>
          <w:p>
            <w:pPr>
              <w:pStyle w:val="Normal"/>
              <w:tabs>
                <w:tab w:val="clear" w:pos="709"/>
              </w:tabs>
              <w:bidi w:val="0"/>
              <w:jc w:val="left"/>
              <w:rPr/>
            </w:pPr>
            <w:r>
              <w:rPr>
                <w:rFonts w:ascii="Consolas" w:hAnsi="Consolas"/>
                <w:color w:val="000000"/>
                <w:sz w:val="22"/>
              </w:rPr>
              <w:t>220 × 30 × 0.07 × 1 × 0.75</w:t>
            </w:r>
          </w:p>
        </w:tc>
        <w:tc>
          <w:tcPr>
            <w:tcW w:w="8050" w:type="dxa"/>
            <w:tcBorders/>
            <w:vAlign w:val="center"/>
          </w:tcPr>
          <w:p>
            <w:pPr>
              <w:pStyle w:val="Normal"/>
              <w:tabs>
                <w:tab w:val="clear" w:pos="709"/>
              </w:tabs>
              <w:bidi w:val="0"/>
              <w:jc w:val="left"/>
              <w:rPr/>
            </w:pPr>
            <w:r>
              <w:rPr>
                <w:rFonts w:ascii="Consolas" w:hAnsi="Consolas"/>
                <w:color w:val="000000"/>
                <w:sz w:val="22"/>
              </w:rPr>
              <w:t>346</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E lab staff</w:t>
            </w:r>
          </w:p>
        </w:tc>
        <w:tc>
          <w:tcPr>
            <w:tcW w:w="8050" w:type="dxa"/>
            <w:tcBorders/>
            <w:vAlign w:val="center"/>
          </w:tcPr>
          <w:p>
            <w:pPr>
              <w:pStyle w:val="Normal"/>
              <w:tabs>
                <w:tab w:val="clear" w:pos="709"/>
              </w:tabs>
              <w:bidi w:val="0"/>
              <w:jc w:val="left"/>
              <w:rPr/>
            </w:pPr>
            <w:r>
              <w:rPr>
                <w:rFonts w:ascii="Consolas" w:hAnsi="Consolas"/>
                <w:color w:val="000000"/>
                <w:sz w:val="22"/>
              </w:rPr>
              <w:t>80 × 3,000 × 0.07 × 1 × 0.75</w:t>
            </w:r>
          </w:p>
        </w:tc>
        <w:tc>
          <w:tcPr>
            <w:tcW w:w="8050" w:type="dxa"/>
            <w:tcBorders/>
            <w:vAlign w:val="center"/>
          </w:tcPr>
          <w:p>
            <w:pPr>
              <w:pStyle w:val="Normal"/>
              <w:tabs>
                <w:tab w:val="clear" w:pos="709"/>
              </w:tabs>
              <w:bidi w:val="0"/>
              <w:jc w:val="left"/>
              <w:rPr/>
            </w:pPr>
            <w:r>
              <w:rPr>
                <w:rFonts w:ascii="Consolas" w:hAnsi="Consolas"/>
                <w:color w:val="000000"/>
                <w:sz w:val="22"/>
              </w:rPr>
              <w:t>12,600</w:t>
            </w:r>
          </w:p>
        </w:tc>
      </w:tr>
      <w:tr>
        <w:trPr>
          <w:trHeight w:val="600" w:hRule="atLeast"/>
        </w:trPr>
        <w:tc>
          <w:tcPr>
            <w:tcW w:w="8050" w:type="dxa"/>
            <w:tcBorders/>
            <w:vAlign w:val="center"/>
          </w:tcPr>
          <w:p>
            <w:pPr>
              <w:pStyle w:val="Normal"/>
              <w:tabs>
                <w:tab w:val="clear" w:pos="709"/>
              </w:tabs>
              <w:bidi w:val="0"/>
              <w:jc w:val="left"/>
              <w:rPr/>
            </w:pPr>
            <w:r>
              <w:rPr>
                <w:rFonts w:ascii="Consolas" w:hAnsi="Consolas"/>
                <w:color w:val="000000"/>
                <w:sz w:val="22"/>
              </w:rPr>
              <w:t>E journalists</w:t>
            </w:r>
          </w:p>
        </w:tc>
        <w:tc>
          <w:tcPr>
            <w:tcW w:w="8050" w:type="dxa"/>
            <w:tcBorders/>
            <w:vAlign w:val="center"/>
          </w:tcPr>
          <w:p>
            <w:pPr>
              <w:pStyle w:val="Normal"/>
              <w:tabs>
                <w:tab w:val="clear" w:pos="709"/>
              </w:tabs>
              <w:bidi w:val="0"/>
              <w:jc w:val="left"/>
              <w:rPr/>
            </w:pPr>
            <w:r>
              <w:rPr>
                <w:rFonts w:ascii="Consolas" w:hAnsi="Consolas"/>
                <w:color w:val="000000"/>
                <w:sz w:val="22"/>
              </w:rPr>
              <w:t>40 × 10,000 × 0.07 × 1 × 0.75</w:t>
            </w:r>
          </w:p>
        </w:tc>
        <w:tc>
          <w:tcPr>
            <w:tcW w:w="8050" w:type="dxa"/>
            <w:tcBorders/>
            <w:vAlign w:val="center"/>
          </w:tcPr>
          <w:p>
            <w:pPr>
              <w:pStyle w:val="Normal"/>
              <w:tabs>
                <w:tab w:val="clear" w:pos="709"/>
              </w:tabs>
              <w:bidi w:val="0"/>
              <w:jc w:val="left"/>
              <w:rPr/>
            </w:pPr>
            <w:r>
              <w:rPr>
                <w:rFonts w:ascii="Consolas" w:hAnsi="Consolas"/>
                <w:color w:val="000000"/>
                <w:sz w:val="22"/>
              </w:rPr>
              <w:t>21,000</w:t>
            </w:r>
          </w:p>
        </w:tc>
      </w:tr>
    </w:tbl>
    <w:p>
      <w:pPr>
        <w:pStyle w:val="Normal"/>
        <w:bidi w:val="0"/>
        <w:jc w:val="left"/>
        <w:rPr>
          <w:rFonts w:ascii="Consolas" w:hAnsi="Consolas"/>
          <w:color w:val="000000"/>
          <w:sz w:val="22"/>
        </w:rPr>
      </w:pPr>
      <w:r>
        <w:rPr>
          <w:rFonts w:ascii="Consolas" w:hAnsi="Consolas"/>
          <w:b/>
          <w:color w:val="000000"/>
          <w:sz w:val="22"/>
        </w:rPr>
        <w:t>E. Volume claim.</w:t>
      </w:r>
      <w:r>
        <w:rPr>
          <w:rFonts w:ascii="Consolas" w:hAnsi="Consolas"/>
          <w:color w:val="000000"/>
          <w:sz w:val="22"/>
        </w:rPr>
        <w:t xml:space="preserve"> A grant funds 45% of a channel worth 1,000,000 PERCYs/yr for one year: 1,000,000 × 0.45 × 1 = 450,000.</w:t>
      </w:r>
    </w:p>
    <w:p>
      <w:pPr>
        <w:pStyle w:val="Normal"/>
        <w:bidi w:val="0"/>
        <w:jc w:val="left"/>
        <w:rPr>
          <w:rFonts w:ascii="Consolas" w:hAnsi="Consolas"/>
          <w:color w:val="000000"/>
          <w:sz w:val="22"/>
        </w:rPr>
      </w:pPr>
      <w:r>
        <w:rPr>
          <w:rFonts w:ascii="Consolas" w:hAnsi="Consolas"/>
          <w:b/>
          <w:color w:val="000000"/>
          <w:sz w:val="22"/>
        </w:rPr>
        <w:t>F. Pipeline.</w:t>
      </w:r>
      <w:r>
        <w:rPr>
          <w:rFonts w:ascii="Consolas" w:hAnsi="Consolas"/>
          <w:color w:val="000000"/>
          <w:sz w:val="22"/>
        </w:rPr>
        <w:t xml:space="preserve"> A creator incubator, 3 cohorts. Forecast alumni output: mean ≈188M short-form views/yr (median 60M; 3% chance of a 2B breakout). Value = 188M × 6/1,000 × 2.5 years × 0.5 (program's share of alumni's careers) × 0.5 (chance the cohorts run) × 0.85 (cf) ≈ 600,000 PERCYs.</w:t>
      </w:r>
    </w:p>
    <w:p>
      <w:pPr>
        <w:pStyle w:val="Normal"/>
        <w:bidi w:val="0"/>
        <w:jc w:val="left"/>
        <w:rPr/>
      </w:pPr>
      <w:r>
        <w:rPr/>
      </w:r>
    </w:p>
    <w:sectPr>
      <w:type w:val="nextPage"/>
      <w:pgSz w:w="12240" w:h="15840"/>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nsolas">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lvl>
    <w:lvl w:ilvl="1">
      <w:start w:val="0"/>
      <w:numFmt w:val="bullet"/>
      <w:lvlText w:val="·"/>
      <w:lvlJc w:val="left"/>
      <w:pPr>
        <w:tabs>
          <w:tab w:val="num" w:pos="0"/>
        </w:tabs>
        <w:ind w:left="0" w:hanging="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0"/>
        </w:tabs>
        <w:ind w:left="0" w:hanging="0"/>
      </w:pPr>
      <w:rPr/>
    </w:lvl>
    <w:lvl w:ilvl="1">
      <w:start w:val="0"/>
      <w:numFmt w:val="bullet"/>
      <w:lvlText w:val="·"/>
      <w:lvlJc w:val="left"/>
      <w:pPr>
        <w:tabs>
          <w:tab w:val="num" w:pos="0"/>
        </w:tabs>
        <w:ind w:left="0" w:hanging="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0" w:hanging="0"/>
      </w:pPr>
      <w:rPr/>
    </w:lvl>
    <w:lvl w:ilvl="1">
      <w:start w:val="1"/>
      <w:numFmt w:val="decimal"/>
      <w:lvlText w:val="%2."/>
      <w:lvlJc w:val="left"/>
      <w:pPr>
        <w:tabs>
          <w:tab w:val="num" w:pos="0"/>
        </w:tabs>
        <w:ind w:left="0" w:hanging="0"/>
      </w:pP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0"/>
  <w:defaultTabStop w:val="709"/>
  <w:autoHyphenation w:val="true"/>
  <w:hyphenationZone w:val="0"/>
  <w:compat>
    <w:adjustLineHeightInTable/>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4</Pages>
  <Words>1240</Words>
  <Characters>6096</Characters>
  <CharactersWithSpaces>7169</CharactersWithSpaces>
  <Paragraphs>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2026-10-30T16:25:37Z</dcterms:created>
  <dc:creator/>
  <dc:description/>
  <dc:language>en-US</dc:language>
  <cp:lastModifiedBy/>
  <dcterms:modified xsi:type="dcterms:W3CDTF">2026-10-30T16:25:55Z</dcterms:modified>
  <cp:revision>1</cp:revision>
  <dc:subject/>
  <dc:title/>
</cp:coreProperties>
</file>