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ind w:hanging="0" w:left="0" w:right="0"/>
        <w:rPr/>
      </w:pPr>
      <w:r>
        <w:rPr/>
        <w:t>Autograntor Common Law</w:t>
      </w:r>
    </w:p>
    <w:p>
      <w:pPr>
        <w:pStyle w:val="BodyText"/>
        <w:bidi w:val="0"/>
        <w:ind w:hanging="0" w:left="0" w:right="0"/>
        <w:rPr/>
      </w:pPr>
      <w:r>
        <w:rPr/>
        <w:t xml:space="preserve">Version: 2026-10-18.2 · Owner: the human user · Status legend: </w:t>
      </w:r>
      <w:r>
        <w:rPr>
          <w:rStyle w:val="Strong"/>
        </w:rPr>
        <w:t>Adopted</w:t>
      </w:r>
      <w:r>
        <w:rPr/>
        <w:t xml:space="preserve"> (approved by the human user; binding) · </w:t>
      </w:r>
      <w:r>
        <w:rPr>
          <w:rStyle w:val="Strong"/>
        </w:rPr>
        <w:t>Proposed</w:t>
      </w:r>
      <w:r>
        <w:rPr/>
        <w:t xml:space="preserve"> (added by an AI; provisional until the human user adopts or strikes it)</w:t>
      </w:r>
    </w:p>
    <w:p>
      <w:pPr>
        <w:pStyle w:val="BodyText"/>
        <w:bidi w:val="0"/>
        <w:ind w:hanging="0" w:left="0" w:right="0"/>
        <w:rPr/>
      </w:pPr>
      <w:r>
        <w:rPr/>
        <w:t>Every grant report must state the Common Law version it used.</w:t>
      </w:r>
    </w:p>
    <w:p>
      <w:pPr>
        <w:pStyle w:val="BodyText"/>
        <w:bidi w:val="0"/>
        <w:ind w:hanging="0" w:left="0" w:right="0"/>
        <w:rPr/>
      </w:pPr>
      <w:r>
        <w:rPr/>
        <w:t>This document is kept free of grant names, applicant details and past forecast results, so that it can be given to independent forecasters without revealing earlier answers (see "Keeping this document clean" in Part I).</w:t>
      </w:r>
    </w:p>
    <w:p>
      <w:pPr>
        <w:pStyle w:val="HorizontalLine"/>
        <w:suppressLineNumbers/>
        <w:pBdr>
          <w:bottom w:val="double" w:sz="2" w:space="0" w:color="808080"/>
        </w:pBdr>
        <w:bidi w:val="0"/>
        <w:spacing w:before="0" w:after="283"/>
        <w:jc w:val="left"/>
        <w:rPr/>
      </w:pPr>
      <w:r>
        <w:rPr/>
      </w:r>
    </w:p>
    <w:p>
      <w:pPr>
        <w:pStyle w:val="Heading2"/>
        <w:bidi w:val="0"/>
        <w:ind w:hanging="0" w:left="0" w:right="0"/>
        <w:rPr/>
      </w:pPr>
      <w:r>
        <w:rPr/>
        <w:t>Part I: How to use this document</w:t>
      </w:r>
    </w:p>
    <w:p>
      <w:pPr>
        <w:pStyle w:val="BodyText"/>
        <w:bidi w:val="0"/>
        <w:ind w:hanging="0" w:left="0" w:right="0"/>
        <w:rPr/>
      </w:pPr>
      <w:r>
        <w:rPr>
          <w:rStyle w:val="Strong"/>
        </w:rPr>
        <w:t>Order of authority.</w:t>
      </w:r>
      <w:r>
        <w:rPr/>
        <w:t xml:space="preserve"> When sources conflict, follow the higher one and say so in your report:</w:t>
      </w:r>
    </w:p>
    <w:p>
      <w:pPr>
        <w:pStyle w:val="BodyText"/>
        <w:numPr>
          <w:ilvl w:val="0"/>
          <w:numId w:val="2"/>
        </w:numPr>
        <w:tabs>
          <w:tab w:val="clear" w:pos="709"/>
          <w:tab w:val="left" w:pos="709" w:leader="none"/>
        </w:tabs>
        <w:bidi w:val="0"/>
        <w:spacing w:before="0" w:after="0"/>
        <w:ind w:hanging="283" w:left="709" w:right="0"/>
        <w:rPr/>
      </w:pPr>
      <w:r>
        <w:rPr/>
        <w:t xml:space="preserve">The human user's instructions in the current prompt </w:t>
      </w:r>
    </w:p>
    <w:p>
      <w:pPr>
        <w:pStyle w:val="BodyText"/>
        <w:numPr>
          <w:ilvl w:val="0"/>
          <w:numId w:val="2"/>
        </w:numPr>
        <w:tabs>
          <w:tab w:val="clear" w:pos="709"/>
          <w:tab w:val="left" w:pos="709" w:leader="none"/>
        </w:tabs>
        <w:bidi w:val="0"/>
        <w:spacing w:before="0" w:after="0"/>
        <w:ind w:hanging="283" w:left="709"/>
        <w:rPr/>
      </w:pPr>
      <w:r>
        <w:rPr/>
        <w:t xml:space="preserve">Adopted rulings in this document </w:t>
      </w:r>
    </w:p>
    <w:p>
      <w:pPr>
        <w:pStyle w:val="BodyText"/>
        <w:numPr>
          <w:ilvl w:val="0"/>
          <w:numId w:val="2"/>
        </w:numPr>
        <w:tabs>
          <w:tab w:val="clear" w:pos="709"/>
          <w:tab w:val="left" w:pos="709" w:leader="none"/>
        </w:tabs>
        <w:bidi w:val="0"/>
        <w:spacing w:before="0" w:after="0"/>
        <w:ind w:hanging="283" w:left="709"/>
        <w:rPr/>
      </w:pPr>
      <w:r>
        <w:rPr/>
        <w:t xml:space="preserve">Proposed rulings in this document </w:t>
      </w:r>
    </w:p>
    <w:p>
      <w:pPr>
        <w:pStyle w:val="BodyText"/>
        <w:numPr>
          <w:ilvl w:val="0"/>
          <w:numId w:val="2"/>
        </w:numPr>
        <w:tabs>
          <w:tab w:val="clear" w:pos="709"/>
          <w:tab w:val="left" w:pos="709" w:leader="none"/>
        </w:tabs>
        <w:bidi w:val="0"/>
        <w:ind w:hanging="283" w:left="709"/>
        <w:rPr/>
      </w:pPr>
      <w:r>
        <w:rPr/>
        <w:t xml:space="preserve">Your own judgment </w:t>
      </w:r>
    </w:p>
    <w:p>
      <w:pPr>
        <w:pStyle w:val="BodyText"/>
        <w:bidi w:val="0"/>
        <w:ind w:hanging="0" w:left="0" w:right="0"/>
        <w:rPr/>
      </w:pPr>
      <w:r>
        <w:rPr>
          <w:rStyle w:val="Strong"/>
        </w:rPr>
        <w:t>Procedure for any judgment call about how to use the system:</w:t>
      </w:r>
    </w:p>
    <w:p>
      <w:pPr>
        <w:pStyle w:val="BodyText"/>
        <w:numPr>
          <w:ilvl w:val="0"/>
          <w:numId w:val="3"/>
        </w:numPr>
        <w:tabs>
          <w:tab w:val="clear" w:pos="709"/>
          <w:tab w:val="left" w:pos="709" w:leader="none"/>
        </w:tabs>
        <w:bidi w:val="0"/>
        <w:spacing w:before="0" w:after="0"/>
        <w:ind w:hanging="283" w:left="709" w:right="0"/>
        <w:rPr/>
      </w:pPr>
      <w:r>
        <w:rPr>
          <w:rStyle w:val="Strong"/>
        </w:rPr>
        <w:t>Look for a precedent.</w:t>
      </w:r>
      <w:r>
        <w:rPr/>
        <w:t xml:space="preserve"> Search this document for a ruling that covers the situation. If one exists and you agree with it, apply it and cite it by number (e.g. "per CL-4"). </w:t>
      </w:r>
    </w:p>
    <w:p>
      <w:pPr>
        <w:pStyle w:val="BodyText"/>
        <w:numPr>
          <w:ilvl w:val="0"/>
          <w:numId w:val="3"/>
        </w:numPr>
        <w:tabs>
          <w:tab w:val="clear" w:pos="709"/>
          <w:tab w:val="left" w:pos="709" w:leader="none"/>
        </w:tabs>
        <w:bidi w:val="0"/>
        <w:spacing w:before="0" w:after="0"/>
        <w:ind w:hanging="283" w:left="709"/>
        <w:rPr/>
      </w:pPr>
      <w:r>
        <w:rPr>
          <w:rStyle w:val="Strong"/>
        </w:rPr>
        <w:t>If there's no precedent:</w:t>
      </w:r>
      <w:r>
        <w:rPr/>
        <w:t xml:space="preserve"> make your own call, then add it to Part III as a </w:t>
      </w:r>
      <w:r>
        <w:rPr>
          <w:rStyle w:val="Strong"/>
        </w:rPr>
        <w:t>Proposed</w:t>
      </w:r>
      <w:r>
        <w:rPr/>
        <w:t xml:space="preserve"> ruling using the template below. Say in your report that you did this. </w:t>
      </w:r>
    </w:p>
    <w:p>
      <w:pPr>
        <w:pStyle w:val="BodyText"/>
        <w:numPr>
          <w:ilvl w:val="0"/>
          <w:numId w:val="3"/>
        </w:numPr>
        <w:tabs>
          <w:tab w:val="clear" w:pos="709"/>
          <w:tab w:val="left" w:pos="709" w:leader="none"/>
        </w:tabs>
        <w:bidi w:val="0"/>
        <w:spacing w:before="0" w:after="0"/>
        <w:ind w:hanging="283" w:left="709"/>
        <w:rPr/>
      </w:pPr>
      <w:r>
        <w:rPr>
          <w:rStyle w:val="Strong"/>
        </w:rPr>
        <w:t>If a precedent exists but you disagree:</w:t>
      </w:r>
      <w:r>
        <w:rPr/>
        <w:t xml:space="preserve"> apply it anyway for your headline numbers. Then recompute </w:t>
      </w:r>
      <w:r>
        <w:rPr>
          <w:rStyle w:val="Emphasis"/>
        </w:rPr>
        <w:t>only the rows it affects</w:t>
      </w:r>
      <w:r>
        <w:rPr/>
        <w:t xml:space="preserve"> under your alternative, and report both results and the difference, with your reasoning. Don't edit the ruling; the human user decides. </w:t>
      </w:r>
    </w:p>
    <w:p>
      <w:pPr>
        <w:pStyle w:val="BodyText"/>
        <w:numPr>
          <w:ilvl w:val="0"/>
          <w:numId w:val="3"/>
        </w:numPr>
        <w:tabs>
          <w:tab w:val="clear" w:pos="709"/>
          <w:tab w:val="left" w:pos="709" w:leader="none"/>
        </w:tabs>
        <w:bidi w:val="0"/>
        <w:ind w:hanging="283" w:left="709"/>
        <w:rPr/>
      </w:pPr>
      <w:r>
        <w:rPr>
          <w:rStyle w:val="Strong"/>
        </w:rPr>
        <w:t>If you applied a Proposed ruling,</w:t>
      </w:r>
      <w:r>
        <w:rPr/>
        <w:t xml:space="preserve"> say so in your report. </w:t>
      </w:r>
    </w:p>
    <w:p>
      <w:pPr>
        <w:pStyle w:val="BodyText"/>
        <w:bidi w:val="0"/>
        <w:ind w:hanging="0" w:left="0" w:right="0"/>
        <w:rPr/>
      </w:pPr>
      <w:r>
        <w:rPr>
          <w:rStyle w:val="Strong"/>
        </w:rPr>
        <w:t>Editing rules for AIs.</w:t>
      </w:r>
      <w:r>
        <w:rPr/>
        <w:t xml:space="preserve"> You may only append new rulings to Part III. Never change or delete Adopted rulings, Part I, or other AIs' Proposed rulings. To append: re-read the document immediately before writing (another run may have added rulings since), add yours at the end of Part III with the next free number, and write back the full document unchanged except for your addition.</w:t>
      </w:r>
    </w:p>
    <w:p>
      <w:pPr>
        <w:pStyle w:val="BodyText"/>
        <w:bidi w:val="0"/>
        <w:ind w:hanging="0" w:left="0" w:right="0"/>
        <w:rPr/>
      </w:pPr>
      <w:r>
        <w:rPr>
          <w:rStyle w:val="Strong"/>
        </w:rPr>
        <w:t>Keeping this document clean.</w:t>
      </w:r>
      <w:r>
        <w:rPr/>
        <w:t xml:space="preserve"> State every ruling generally. Never name a real grant, applicant, organisation being evaluated, person, funder or evaluator, and never record a forecast result, a parameter value taken from a specific forecast, or how a ruling changed a specific forecast's numbers. Those belong in the grant report, not here. An example is optional; if you give one, make it hypothetical, with invented round numbers.</w:t>
      </w:r>
    </w:p>
    <w:p>
      <w:pPr>
        <w:pStyle w:val="BodyText"/>
        <w:bidi w:val="0"/>
        <w:ind w:hanging="0" w:left="0" w:right="0"/>
        <w:rPr/>
      </w:pPr>
      <w:r>
        <w:rPr>
          <w:rStyle w:val="Strong"/>
        </w:rPr>
        <w:t>Ruling template (for Part III):</w:t>
      </w:r>
    </w:p>
    <w:p>
      <w:pPr>
        <w:pStyle w:val="PreformattedText"/>
        <w:bidi w:val="0"/>
        <w:ind w:hanging="0" w:left="0" w:right="0"/>
        <w:rPr/>
      </w:pPr>
      <w:r>
        <w:rPr>
          <w:rStyle w:val="SourceText"/>
          <w:rFonts w:ascii="var font-mono" w:hAnsi="var font-mono"/>
          <w:color w:val="EAECF0"/>
          <w:shd w:fill="auto" w:val="clear"/>
        </w:rPr>
        <w:t>### CL-&lt;next number&gt;: &lt;short title&gt; [Proposed &lt;YYYY-MM-DD&gt;, by &lt;model&gt;]</w:t>
      </w:r>
    </w:p>
    <w:p>
      <w:pPr>
        <w:pStyle w:val="PreformattedText"/>
        <w:bidi w:val="0"/>
        <w:rPr/>
      </w:pPr>
      <w:r>
        <w:rPr>
          <w:rStyle w:val="SourceText"/>
          <w:rFonts w:ascii="var font-mono" w:hAnsi="var font-mono"/>
          <w:color w:val="EAECF0"/>
          <w:shd w:fill="auto" w:val="clear"/>
        </w:rPr>
        <w:t>**Rule:** &lt;one or two sentences, stated generally&gt;</w:t>
      </w:r>
    </w:p>
    <w:p>
      <w:pPr>
        <w:pStyle w:val="PreformattedText"/>
        <w:bidi w:val="0"/>
        <w:rPr/>
      </w:pPr>
      <w:r>
        <w:rPr>
          <w:rStyle w:val="SourceText"/>
          <w:rFonts w:ascii="var font-mono" w:hAnsi="var font-mono"/>
          <w:color w:val="EAECF0"/>
          <w:shd w:fill="auto" w:val="clear"/>
        </w:rPr>
        <w:t>**Why:** &lt;one or two sentences, without naming any grant or result&gt;</w:t>
      </w:r>
    </w:p>
    <w:p>
      <w:pPr>
        <w:pStyle w:val="PreformattedText"/>
        <w:bidi w:val="0"/>
        <w:spacing w:before="0" w:after="283"/>
        <w:rPr/>
      </w:pPr>
      <w:r>
        <w:rPr>
          <w:rStyle w:val="SourceText"/>
          <w:rFonts w:ascii="var font-mono" w:hAnsi="var font-mono"/>
          <w:color w:val="EAECF0"/>
          <w:shd w:fill="auto" w:val="clear"/>
        </w:rPr>
        <w:t>**Example (optional):** &lt;a hypothetical illustration with invented numbers&gt;</w:t>
      </w:r>
    </w:p>
    <w:p>
      <w:pPr>
        <w:pStyle w:val="HorizontalLine"/>
        <w:suppressLineNumbers/>
        <w:pBdr>
          <w:bottom w:val="double" w:sz="2" w:space="0" w:color="808080"/>
        </w:pBdr>
        <w:bidi w:val="0"/>
        <w:spacing w:before="0" w:after="283"/>
        <w:jc w:val="left"/>
        <w:rPr/>
      </w:pPr>
      <w:r>
        <w:rPr/>
      </w:r>
    </w:p>
    <w:p>
      <w:pPr>
        <w:pStyle w:val="Heading2"/>
        <w:bidi w:val="0"/>
        <w:ind w:hanging="0" w:left="0" w:right="0"/>
        <w:rPr/>
      </w:pPr>
      <w:r>
        <w:rPr/>
        <w:t>Part II: Adopted rulings</w:t>
      </w:r>
    </w:p>
    <w:p>
      <w:pPr>
        <w:pStyle w:val="Heading3"/>
        <w:bidi w:val="0"/>
        <w:ind w:hanging="0" w:left="0" w:right="0"/>
        <w:rPr/>
      </w:pPr>
      <w:r>
        <w:rPr/>
        <w:t>CL-1: What a value means</w:t>
      </w:r>
    </w:p>
    <w:p>
      <w:pPr>
        <w:pStyle w:val="BodyText"/>
        <w:bidi w:val="0"/>
        <w:ind w:hanging="0" w:left="0" w:right="0"/>
        <w:rPr/>
      </w:pPr>
      <w:r>
        <w:rPr>
          <w:rStyle w:val="Strong"/>
        </w:rPr>
        <w:t>Rule:</w:t>
      </w:r>
      <w:r>
        <w:rPr/>
        <w:t xml:space="preserve"> Every entry and every grant is valued the same way, whether it is a law, a research result, a community or a shift in opinion: the counterfactual value of the thing existing, judged from 2030, including everything downstream it caused. Formally, value(X) = Σ over consequences of [weight × (P(consequence | X) − P(consequence | not X))], plus any value X has in itself. Consequences can be negative, and are signed. </w:t>
      </w:r>
      <w:r>
        <w:rPr>
          <w:rStyle w:val="Strong"/>
        </w:rPr>
        <w:t>Why:</w:t>
      </w:r>
      <w:r>
        <w:rPr/>
        <w:t xml:space="preserve"> One definition across categories is what makes the scale comparable.</w:t>
      </w:r>
    </w:p>
    <w:p>
      <w:pPr>
        <w:pStyle w:val="Heading3"/>
        <w:bidi w:val="0"/>
        <w:ind w:hanging="0" w:left="0" w:right="0"/>
        <w:rPr/>
      </w:pPr>
      <w:r>
        <w:rPr/>
        <w:t>CL-2: Computing credit for an outcome</w:t>
      </w:r>
    </w:p>
    <w:p>
      <w:pPr>
        <w:pStyle w:val="BodyText"/>
        <w:bidi w:val="0"/>
        <w:ind w:hanging="0" w:left="0" w:right="0"/>
        <w:rPr/>
      </w:pPr>
      <w:r>
        <w:rPr>
          <w:rStyle w:val="Strong"/>
        </w:rPr>
        <w:t>Rule:</w:t>
      </w:r>
      <w:r>
        <w:rPr/>
        <w:t xml:space="preserve"> When </w:t>
      </w:r>
      <w:r>
        <w:rPr>
          <w:rStyle w:val="Strong"/>
        </w:rPr>
        <w:t>forecasting</w:t>
      </w:r>
      <w:r>
        <w:rPr/>
        <w:t xml:space="preserve"> (a grant, a new project), credit for an outcome = P(outcome | cause) − P(outcome | no cause). When </w:t>
      </w:r>
      <w:r>
        <w:rPr>
          <w:rStyle w:val="Strong"/>
        </w:rPr>
        <w:t>judging something that has already happened</w:t>
      </w:r>
      <w:r>
        <w:rPr/>
        <w:t xml:space="preserve"> (a historical entry), credit = 1 − P(outcome | cause absent), because P(outcome | cause) = 1. </w:t>
      </w:r>
      <w:r>
        <w:rPr>
          <w:rStyle w:val="Strong"/>
        </w:rPr>
        <w:t>Why:</w:t>
      </w:r>
      <w:r>
        <w:rPr/>
        <w:t xml:space="preserve"> Using the retrospective formula for a forecast hugely overstates small effects. </w:t>
      </w:r>
      <w:r>
        <w:rPr>
          <w:rStyle w:val="Strong"/>
        </w:rPr>
        <w:t>Example:</w:t>
      </w:r>
      <w:r>
        <w:rPr/>
        <w:t xml:space="preserve"> A grant that raises the odds of a law from 10% to 12% gets 2% of the law's weight, not 90%.</w:t>
      </w:r>
    </w:p>
    <w:p>
      <w:pPr>
        <w:pStyle w:val="Heading3"/>
        <w:bidi w:val="0"/>
        <w:ind w:hanging="0" w:left="0" w:right="0"/>
        <w:rPr/>
      </w:pPr>
      <w:r>
        <w:rPr/>
        <w:t>CL-3: No credit pie</w:t>
      </w:r>
    </w:p>
    <w:p>
      <w:pPr>
        <w:pStyle w:val="BodyText"/>
        <w:bidi w:val="0"/>
        <w:ind w:hanging="0" w:left="0" w:right="0"/>
        <w:rPr/>
      </w:pPr>
      <w:r>
        <w:rPr>
          <w:rStyle w:val="Strong"/>
        </w:rPr>
        <w:t>Rule:</w:t>
      </w:r>
      <w:r>
        <w:rPr/>
        <w:t xml:space="preserve"> Compute counterfactual credit independently for each cause. Credit does not have to sum to 100% across causes; if an outcome needed both A and B, each gets full counterfactual credit. Don't divide credit among actors (no Shapley values, no shares that must add to one). What shrinks a cause's claim is the chance the outcome would have happened anyway (CL-2), so long causal chains lose credit at each link with no separate discount. </w:t>
      </w:r>
      <w:r>
        <w:rPr>
          <w:rStyle w:val="Strong"/>
        </w:rPr>
        <w:t>Why:</w:t>
      </w:r>
      <w:r>
        <w:rPr/>
        <w:t xml:space="preserve"> For a funding decision, the question is what changes if this grant is or isn't made. If full credit fails the scale-up check, the fix is CL-4, not a fractional share.</w:t>
      </w:r>
    </w:p>
    <w:p>
      <w:pPr>
        <w:pStyle w:val="Heading3"/>
        <w:bidi w:val="0"/>
        <w:ind w:hanging="0" w:left="0" w:right="0"/>
        <w:rPr/>
      </w:pPr>
      <w:r>
        <w:rPr/>
        <w:t>CL-4: Charge for the resources a grant pulls in</w:t>
      </w:r>
    </w:p>
    <w:p>
      <w:pPr>
        <w:pStyle w:val="BodyText"/>
        <w:bidi w:val="0"/>
        <w:ind w:hanging="0" w:left="0" w:right="0"/>
        <w:rPr/>
      </w:pPr>
      <w:r>
        <w:rPr>
          <w:rStyle w:val="Strong"/>
        </w:rPr>
        <w:t>Rule:</w:t>
      </w:r>
      <w:r>
        <w:rPr/>
        <w:t xml:space="preserve"> If a grant's value depends on later resources it causes to be spent (follow-on donations or loans, purchase capital, the time of scarce leaders or staff), subtract what those resources would have produced elsewhere. Money: use the "$1B to grantmaker" price on the weights list, currently 20 utility per $1M (the human user may override). People: use the policy-year or researcher-year prices, or a stated multiple for unusually scarce people. Count only the resources that would not have been spent anyway, weighted by the probability they are spent. </w:t>
      </w:r>
      <w:r>
        <w:rPr>
          <w:rStyle w:val="Strong"/>
        </w:rPr>
        <w:t>Why:</w:t>
      </w:r>
      <w:r>
        <w:rPr/>
        <w:t xml:space="preserve"> Without this, "no credit pie" overvalues seed and leverage grants, which get credit for outcomes paid for mostly by other people's money. </w:t>
      </w:r>
      <w:r>
        <w:rPr>
          <w:rStyle w:val="Strong"/>
        </w:rPr>
        <w:t>Example (hypothetical):</w:t>
      </w:r>
      <w:r>
        <w:rPr/>
        <w:t xml:space="preserve"> A grant that raises the chance of a $10M follow-on raise by 30 points pulls in about $3M of expected follow-on money, so subtract about 60 utility.</w:t>
      </w:r>
    </w:p>
    <w:p>
      <w:pPr>
        <w:pStyle w:val="Heading3"/>
        <w:bidi w:val="0"/>
        <w:ind w:hanging="0" w:left="0" w:right="0"/>
        <w:rPr/>
      </w:pPr>
      <w:r>
        <w:rPr/>
        <w:t>CL-5: Count each consequence once</w:t>
      </w:r>
    </w:p>
    <w:p>
      <w:pPr>
        <w:pStyle w:val="BodyText"/>
        <w:bidi w:val="0"/>
        <w:ind w:hanging="0" w:left="0" w:right="0"/>
        <w:rPr/>
      </w:pPr>
      <w:r>
        <w:rPr>
          <w:rStyle w:val="Strong"/>
        </w:rPr>
        <w:t>Rule:</w:t>
      </w:r>
      <w:r>
        <w:rPr/>
        <w:t xml:space="preserve"> Within one grant's accounting, never credit the same consequence twice. If a grant builds a node (a movement, program or institution), credit either the node or the downstream outcomes it produces, not both, since the node's value already includes them. Credit through the most proximate node whose probability you can actually forecast. Separate consequences can each be credited: a grant that funds an organization and also directly produces an unrelated outcome gets both. Entries in the weights table overlap and must never be summed. </w:t>
      </w:r>
      <w:r>
        <w:rPr>
          <w:rStyle w:val="Strong"/>
        </w:rPr>
        <w:t>Why:</w:t>
      </w:r>
      <w:r>
        <w:rPr/>
        <w:t xml:space="preserve"> The only place double-counting can enter is inside one grant's ledger.</w:t>
      </w:r>
    </w:p>
    <w:p>
      <w:pPr>
        <w:pStyle w:val="Heading3"/>
        <w:bidi w:val="0"/>
        <w:ind w:hanging="0" w:left="0" w:right="0"/>
        <w:rPr/>
      </w:pPr>
      <w:r>
        <w:rPr/>
        <w:t>CL-6: Old rows price old things</w:t>
      </w:r>
    </w:p>
    <w:p>
      <w:pPr>
        <w:pStyle w:val="BodyText"/>
        <w:bidi w:val="0"/>
        <w:ind w:hanging="0" w:left="0" w:right="0"/>
        <w:rPr/>
      </w:pPr>
      <w:r>
        <w:rPr>
          <w:rStyle w:val="Strong"/>
        </w:rPr>
        <w:t>Rule:</w:t>
      </w:r>
      <w:r>
        <w:rPr/>
        <w:t xml:space="preserve"> Historical entries value the thing at the date it existed. A new institution started now is worth what it will plausibly produce by 2030, plus later effects discounted per CL-7, using the historical entry as a comparable for scale and quality and as an upper bound. It is an upper bound partly because the field is more crowded now: a new venue or program today is partly redundant with existing ones in a way its predecessor wasn't. </w:t>
      </w:r>
      <w:r>
        <w:rPr>
          <w:rStyle w:val="Strong"/>
        </w:rPr>
        <w:t>Example:</w:t>
      </w:r>
      <w:r>
        <w:rPr/>
        <w:t xml:space="preserve"> A new venue modelled on a historical one listed on the weights table is worth less than that entry, because part of its function is already served by existing venues.</w:t>
      </w:r>
    </w:p>
    <w:p>
      <w:pPr>
        <w:pStyle w:val="Heading3"/>
        <w:bidi w:val="0"/>
        <w:ind w:hanging="0" w:left="0" w:right="0"/>
        <w:rPr/>
      </w:pPr>
      <w:r>
        <w:rPr/>
        <w:t>CL-7: Time horizon</w:t>
      </w:r>
    </w:p>
    <w:p>
      <w:pPr>
        <w:pStyle w:val="BodyText"/>
        <w:bidi w:val="0"/>
        <w:ind w:hanging="0" w:left="0" w:right="0"/>
        <w:rPr/>
      </w:pPr>
      <w:r>
        <w:rPr>
          <w:rStyle w:val="Strong"/>
        </w:rPr>
        <w:t>Rule:</w:t>
      </w:r>
      <w:r>
        <w:rPr/>
        <w:t xml:space="preserve"> Value a grant as it would look from 2030. Count milestones reached by 2030, plus changes in the probability of later milestones that are already evident by 2030. Discount effects expected after 2030 for the chance that transformative AI has made them moot (use the human user's stated discount if the prompt gives one). Always report the share of value that comes from post-2030 effects.</w:t>
      </w:r>
    </w:p>
    <w:p>
      <w:pPr>
        <w:pStyle w:val="Heading3"/>
        <w:bidi w:val="0"/>
        <w:ind w:hanging="0" w:left="0" w:right="0"/>
        <w:rPr/>
      </w:pPr>
      <w:r>
        <w:rPr/>
        <w:t>CL-8: The no-grant world</w:t>
      </w:r>
    </w:p>
    <w:p>
      <w:pPr>
        <w:pStyle w:val="BodyText"/>
        <w:bidi w:val="0"/>
        <w:ind w:hanging="0" w:left="0" w:right="0"/>
        <w:rPr/>
      </w:pPr>
      <w:r>
        <w:rPr>
          <w:rStyle w:val="Strong"/>
        </w:rPr>
        <w:t>Rule:</w:t>
      </w:r>
      <w:r>
        <w:rPr/>
        <w:t xml:space="preserve"> If the grant is declined, assume this money is not replaced by anyone this round, and don't assume a later round rescues the project. The organization keeps its existing funds, pledges and earned revenue, and its team can keep working with those. Don't model an organization forbidden from ever raising money again.</w:t>
      </w:r>
    </w:p>
    <w:p>
      <w:pPr>
        <w:pStyle w:val="Heading3"/>
        <w:bidi w:val="0"/>
        <w:ind w:hanging="0" w:left="0" w:right="0"/>
        <w:rPr/>
      </w:pPr>
      <w:r>
        <w:rPr/>
        <w:t>CL-9: Scale-up check</w:t>
      </w:r>
    </w:p>
    <w:p>
      <w:pPr>
        <w:pStyle w:val="BodyText"/>
        <w:bidi w:val="0"/>
        <w:ind w:hanging="0" w:left="0" w:right="0"/>
        <w:rPr/>
      </w:pPr>
      <w:r>
        <w:rPr>
          <w:rStyle w:val="Strong"/>
        </w:rPr>
        <w:t>Rule:</w:t>
      </w:r>
      <w:r>
        <w:rPr/>
        <w:t xml:space="preserve"> An extra dollar is not worth more than the organization's average dollar. Multiply every grant estimate up to the organization's full annual budget and list the implied probability shifts for the largest rows. If any is implausible (e.g. one year of the organization adding tens of points to the odds of a federal law), revise the estimate. Also compare with the organization's track record: past utility credited ÷ past spending. </w:t>
      </w:r>
      <w:r>
        <w:rPr>
          <w:rStyle w:val="Emphasis"/>
        </w:rPr>
        <w:t>(How strictly to apply the first sentence, and what "average dollar" means: see CL-15.)</w:t>
      </w:r>
    </w:p>
    <w:p>
      <w:pPr>
        <w:pStyle w:val="Heading3"/>
        <w:bidi w:val="0"/>
        <w:ind w:hanging="0" w:left="0" w:right="0"/>
        <w:rPr/>
      </w:pPr>
      <w:r>
        <w:rPr/>
        <w:t>CL-10: Outcomes not on the weights list</w:t>
      </w:r>
    </w:p>
    <w:p>
      <w:pPr>
        <w:pStyle w:val="BodyText"/>
        <w:bidi w:val="0"/>
        <w:ind w:hanging="0" w:left="0" w:right="0"/>
        <w:rPr/>
      </w:pPr>
      <w:r>
        <w:rPr>
          <w:rStyle w:val="Strong"/>
        </w:rPr>
        <w:t>Rule:</w:t>
      </w:r>
    </w:p>
    <w:p>
      <w:pPr>
        <w:pStyle w:val="BodyText"/>
        <w:numPr>
          <w:ilvl w:val="0"/>
          <w:numId w:val="4"/>
        </w:numPr>
        <w:tabs>
          <w:tab w:val="clear" w:pos="709"/>
          <w:tab w:val="left" w:pos="709" w:leader="none"/>
        </w:tabs>
        <w:bidi w:val="0"/>
        <w:spacing w:before="0" w:after="0"/>
        <w:ind w:hanging="283" w:left="709" w:right="0"/>
        <w:rPr/>
      </w:pPr>
      <w:r>
        <w:rPr/>
        <w:t xml:space="preserve">A new state AI law that mostly copies SB 53: at most the NY RAISE Act weight, scaled down for smaller or less influential states. A law with substantial new provisions (e.g. mandatory third-party audits) may go higher, justified relative to SB 53. </w:t>
      </w:r>
    </w:p>
    <w:p>
      <w:pPr>
        <w:pStyle w:val="BodyText"/>
        <w:numPr>
          <w:ilvl w:val="0"/>
          <w:numId w:val="4"/>
        </w:numPr>
        <w:tabs>
          <w:tab w:val="clear" w:pos="709"/>
          <w:tab w:val="left" w:pos="709" w:leader="none"/>
        </w:tabs>
        <w:bidi w:val="0"/>
        <w:spacing w:before="0" w:after="0"/>
        <w:ind w:hanging="283" w:left="709"/>
        <w:rPr/>
      </w:pPr>
      <w:r>
        <w:rPr/>
        <w:t xml:space="preserve">"Implementation" or "preservation" of existing laws counts only when tied to a specific, checkable event, valued as a stated fraction of that law's weight. </w:t>
      </w:r>
    </w:p>
    <w:p>
      <w:pPr>
        <w:pStyle w:val="BodyText"/>
        <w:numPr>
          <w:ilvl w:val="0"/>
          <w:numId w:val="4"/>
        </w:numPr>
        <w:tabs>
          <w:tab w:val="clear" w:pos="709"/>
          <w:tab w:val="left" w:pos="709" w:leader="none"/>
        </w:tabs>
        <w:bidi w:val="0"/>
        <w:spacing w:before="0" w:after="0"/>
        <w:ind w:hanging="283" w:left="709"/>
        <w:rPr/>
      </w:pPr>
      <w:r>
        <w:rPr/>
        <w:t xml:space="preserve">Influence on AI labs: use the lab-point price (per point at OpenAI or Anthropic on a 0–100 scale, 0 = NVIDIA, 100 = Anthropic); other labs at a stated fraction. </w:t>
      </w:r>
    </w:p>
    <w:p>
      <w:pPr>
        <w:pStyle w:val="BodyText"/>
        <w:numPr>
          <w:ilvl w:val="0"/>
          <w:numId w:val="4"/>
        </w:numPr>
        <w:tabs>
          <w:tab w:val="clear" w:pos="709"/>
          <w:tab w:val="left" w:pos="709" w:leader="none"/>
        </w:tabs>
        <w:bidi w:val="0"/>
        <w:ind w:hanging="283" w:left="709"/>
        <w:rPr/>
      </w:pPr>
      <w:r>
        <w:rPr/>
        <w:t xml:space="preserve">Anything else: name it, price it by comparison with the closest listed items, and say which ones. </w:t>
      </w:r>
    </w:p>
    <w:p>
      <w:pPr>
        <w:pStyle w:val="Heading3"/>
        <w:bidi w:val="0"/>
        <w:ind w:hanging="0" w:left="0" w:right="0"/>
        <w:rPr/>
      </w:pPr>
      <w:r>
        <w:rPr/>
        <w:t>CL-11: Contested values questions go back to the human user</w:t>
      </w:r>
    </w:p>
    <w:p>
      <w:pPr>
        <w:pStyle w:val="BodyText"/>
        <w:bidi w:val="0"/>
        <w:ind w:hanging="0" w:left="0" w:right="0"/>
        <w:rPr/>
      </w:pPr>
      <w:r>
        <w:rPr>
          <w:rStyle w:val="Strong"/>
        </w:rPr>
        <w:t>Rule:</w:t>
      </w:r>
      <w:r>
        <w:rPr/>
        <w:t xml:space="preserve"> If a large share of a grant's value or downside depends on a values judgment rather than a factual one (e.g. whether hosting accelerationists at a neutral convening helps or hurts), don't silently pick an answer. Price the grant under each reasonable answer and report both as a question for the human user.</w:t>
      </w:r>
    </w:p>
    <w:p>
      <w:pPr>
        <w:pStyle w:val="Heading3"/>
        <w:bidi w:val="0"/>
        <w:ind w:hanging="0" w:left="0" w:right="0"/>
        <w:rPr/>
      </w:pPr>
      <w:r>
        <w:rPr/>
        <w:t>CL-12: Other evaluators' opinions</w:t>
      </w:r>
    </w:p>
    <w:p>
      <w:pPr>
        <w:pStyle w:val="BodyText"/>
        <w:bidi w:val="0"/>
        <w:ind w:hanging="0" w:left="0" w:right="0"/>
        <w:rPr/>
      </w:pPr>
      <w:r>
        <w:rPr>
          <w:rStyle w:val="Strong"/>
        </w:rPr>
        <w:t>Rule:</w:t>
      </w:r>
      <w:r>
        <w:rPr/>
        <w:t xml:space="preserve"> Treat other evaluators' written opinions as evidence, not answers. Weigh them by the evaluator's track record and access, discount them for conflicts of interest (e.g. a board seat), and say when a large part of your estimate rests on one person's view.</w:t>
      </w:r>
    </w:p>
    <w:p>
      <w:pPr>
        <w:pStyle w:val="Heading3"/>
        <w:bidi w:val="0"/>
        <w:ind w:hanging="0" w:left="0" w:right="0"/>
        <w:rPr/>
      </w:pPr>
      <w:r>
        <w:rPr/>
        <w:t>CL-13: Generic prices</w:t>
      </w:r>
    </w:p>
    <w:p>
      <w:pPr>
        <w:pStyle w:val="BodyText"/>
        <w:bidi w:val="0"/>
        <w:ind w:hanging="0" w:left="0" w:right="0"/>
        <w:rPr/>
      </w:pPr>
      <w:r>
        <w:rPr>
          <w:rStyle w:val="Strong"/>
        </w:rPr>
        <w:t>Rule:</w:t>
      </w:r>
      <w:r>
        <w:rPr/>
        <w:t xml:space="preserve"> The generic entries (PERCYs, $1B to grantmaker, researcher-year, policy-year, lab point) are marginal prices for one more unit today. Use them to price a grant's outputs and as cross-checks, never as a starting point or a ceiling for a specific organization, and never multiply them up linearly to large quantities.</w:t>
      </w:r>
    </w:p>
    <w:p>
      <w:pPr>
        <w:pStyle w:val="Heading3"/>
        <w:bidi w:val="0"/>
        <w:ind w:hanging="0" w:left="0" w:right="0"/>
        <w:rPr/>
      </w:pPr>
      <w:r>
        <w:rPr/>
        <w:t>CL-15: CL-9 is a soft sanity check, measured against the organization not existing [Adopted by the human user 2026-10-16; drafted by Claude]</w:t>
      </w:r>
    </w:p>
    <w:p>
      <w:pPr>
        <w:pStyle w:val="BodyText"/>
        <w:bidi w:val="0"/>
        <w:ind w:hanging="0" w:left="0" w:right="0"/>
        <w:rPr/>
      </w:pPr>
      <w:r>
        <w:rPr>
          <w:rStyle w:val="Strong"/>
        </w:rPr>
        <w:t>Rule:</w:t>
      </w:r>
      <w:r>
        <w:rPr/>
        <w:t xml:space="preserve"> The "organization's average dollar" in CL-9 is the value of the organization's full annual program compared with the organization not existing, divided by its annual budget, on the same CL-11 mixture as the grant. It is not the grant's increment over the no-grant world divided by the budget. CL-9 is a sanity check, not a cap, and not a strong one: a grant may be valued above the organization's average dollar when the estimator says why. Legitimate reasons include: the grant buys the program's strongest lines and the average is pulled down by weaker lines it doesn't fund (tiered budgets); or the grantor judges the funded program unusually valuable compared with the rest of the organization's spending (the organization may be mistaken in not redirecting its other money to it, or may have fixed costs it can't redirect). Always report the organization's average dollar next to the grant's figure; the bigger the excess, the more specific and checkable the reason should be. </w:t>
      </w:r>
      <w:r>
        <w:rPr>
          <w:rStyle w:val="Strong"/>
        </w:rPr>
        <w:t>Why:</w:t>
      </w:r>
      <w:r>
        <w:rPr/>
        <w:t xml:space="preserve"> Dividing the grant's increment by the budget mixes bases and, as a cap, forbids diminishing returns within a grant. A hard cap at the organization's average penalizes tiered budgets and wrongly assumes an organization's own spending is efficient.</w:t>
      </w:r>
    </w:p>
    <w:p>
      <w:pPr>
        <w:pStyle w:val="Heading3"/>
        <w:bidi w:val="0"/>
        <w:ind w:hanging="0" w:left="0" w:right="0"/>
        <w:rPr/>
      </w:pPr>
      <w:r>
        <w:rPr/>
        <w:t>CL-33: Grants that may never be disbursed [Adopted by the human user 2026-10-17; drafted by Claude]</w:t>
      </w:r>
    </w:p>
    <w:p>
      <w:pPr>
        <w:pStyle w:val="BodyText"/>
        <w:bidi w:val="0"/>
        <w:ind w:hanging="0" w:left="0" w:right="0"/>
        <w:rPr/>
      </w:pPr>
      <w:r>
        <w:rPr>
          <w:rStyle w:val="Strong"/>
        </w:rPr>
        <w:t>Rule:</w:t>
      </w:r>
      <w:r>
        <w:rPr/>
        <w:t xml:space="preserve"> If some branches of a grant end with the money cleanly returned to the funder before it is spent (e.g. the lead decides not to proceed, a condition isn't met), drop those branches and value the grant conditional on the money leaving the pot: the headline mean, median, percentiles and per-$1M figures are all conditional on disbursement, with per-$1M computed on the dollars actually disbursed. This applies only to clean refunds. Keep, at whatever value they produce, branches where the money leaves and the program then fails, and score partial refunds per dollar actually kept. If a refund would come back too late to be re-granted at the usual bar, or would have held up other grants, charge that delay as a signed row. If the grant offer itself changes whether the gate opens (e.g. a larger offer makes the lead likelier to commit), or the worlds where the money is kept differ systematically from the others, reflect that in the conditional estimate. </w:t>
      </w:r>
      <w:r>
        <w:rPr>
          <w:rStyle w:val="Strong"/>
        </w:rPr>
        <w:t>Why:</w:t>
      </w:r>
      <w:r>
        <w:rPr/>
        <w:t xml:space="preserve"> Returned money goes back to the pot and funds the next-best grant, so valuing it at zero makes an uncertain grant look like a bad one; whether to fund depends on value per dollar disbursed against the bar, which doesn't depend on the probability of disbursement.</w:t>
      </w:r>
    </w:p>
    <w:p>
      <w:pPr>
        <w:pStyle w:val="Heading3"/>
        <w:bidi w:val="0"/>
        <w:ind w:hanging="0" w:left="0" w:right="0"/>
        <w:rPr/>
      </w:pPr>
      <w:r>
        <w:rPr/>
        <w:t>CL-62: Other evaluators' allocations in the same round are ignored [Adopted by the human user 2026-10-18; drafted by Claude]</w:t>
      </w:r>
    </w:p>
    <w:p>
      <w:pPr>
        <w:pStyle w:val="BodyText"/>
        <w:bidi w:val="0"/>
        <w:ind w:hanging="0" w:left="0" w:right="0"/>
        <w:rPr/>
      </w:pPr>
      <w:r>
        <w:rPr>
          <w:rStyle w:val="Strong"/>
        </w:rPr>
        <w:t>Rule:</w:t>
      </w:r>
      <w:r>
        <w:rPr/>
        <w:t xml:space="preserve"> When scoring a grant for a funding platform on which several evaluators allocate money in the same round, ignore the other evaluators' allocations to the same organisation in that round: they are absent from both the grant and the no-grant worlds. Score the grant as if this ruling directs all of the platform's money to the organisation in that round, so the question answered is whether the platform as a whole should fund it at this size. Money from outside the platform (other funders, pledges, the organisation's own fundraising) still stays in both worlds, per CL-8 and CL-43. Later rounds of the same platform are likewise left out of both worlds when the organisation survives without the grant; CL-31's grant-world continuation for a program that dies without the grant is unchanged. This supersedes CL-43's original same-round clause, CL-58 (struck) and CL-59, and limits CL-60's second clause. </w:t>
      </w:r>
      <w:r>
        <w:rPr>
          <w:rStyle w:val="Strong"/>
        </w:rPr>
        <w:t>Why:</w:t>
      </w:r>
      <w:r>
        <w:rPr/>
        <w:t xml:space="preserve"> The forecast is meant as a naive estimate of whether the platform should fund the organisation at all, not of what one evaluator's slot adds on top of the others.</w:t>
      </w:r>
    </w:p>
    <w:p>
      <w:pPr>
        <w:pStyle w:val="HorizontalLine"/>
        <w:suppressLineNumbers/>
        <w:pBdr>
          <w:bottom w:val="double" w:sz="2" w:space="0" w:color="808080"/>
        </w:pBdr>
        <w:bidi w:val="0"/>
        <w:spacing w:before="0" w:after="283"/>
        <w:jc w:val="left"/>
        <w:rPr/>
      </w:pPr>
      <w:r>
        <w:rPr/>
      </w:r>
    </w:p>
    <w:p>
      <w:pPr>
        <w:pStyle w:val="Heading2"/>
        <w:bidi w:val="0"/>
        <w:ind w:hanging="0" w:left="0" w:right="0"/>
        <w:rPr/>
      </w:pPr>
      <w:r>
        <w:rPr/>
        <w:t>Part III: Proposed rulings</w:t>
      </w:r>
    </w:p>
    <w:p>
      <w:pPr>
        <w:pStyle w:val="BodyText"/>
        <w:bidi w:val="0"/>
        <w:ind w:hanging="0" w:left="0" w:right="0"/>
        <w:rPr/>
      </w:pPr>
      <w:r>
        <w:rPr>
          <w:rStyle w:val="Emphasis"/>
        </w:rPr>
        <w:t>(AIs append here using the template in Part I.)</w:t>
      </w:r>
    </w:p>
    <w:p>
      <w:pPr>
        <w:pStyle w:val="Heading3"/>
        <w:bidi w:val="0"/>
        <w:ind w:hanging="0" w:left="0" w:right="0"/>
        <w:rPr/>
      </w:pPr>
      <w:r>
        <w:rPr/>
        <w:t>CL-14: Pending applications at other funders [Proposed 2026-10-16, by Claude]</w:t>
      </w:r>
    </w:p>
    <w:p>
      <w:pPr>
        <w:pStyle w:val="BodyText"/>
        <w:bidi w:val="0"/>
        <w:ind w:hanging="0" w:left="0" w:right="0"/>
        <w:rPr/>
      </w:pPr>
      <w:r>
        <w:rPr>
          <w:rStyle w:val="Strong"/>
        </w:rPr>
        <w:t>Rule:</w:t>
      </w:r>
      <w:r>
        <w:rPr/>
        <w:t xml:space="preserve"> An application already pending with another funder is neither a pledge (CL-8 "existing funds and pledges") nor "a later round" (CL-8 "don't assume a later round rescues the project"). Model it as an event with a stated probability in both the grant and the no-grant worlds. The probability may differ between the two worlds only for a stated reason (the grant lowers the other funder's urgency, or raises the applicant's credibility), and the difference should be small. Never treat it as secured or as zero in one world only. </w:t>
      </w:r>
      <w:r>
        <w:rPr>
          <w:rStyle w:val="Strong"/>
        </w:rPr>
        <w:t>Why:</w:t>
      </w:r>
      <w:r>
        <w:rPr/>
        <w:t xml:space="preserve"> Ignoring it overstates bridge grants; counting it as secured understates them; and treating it asymmetrically (secured with the grant, absent without) is the error that actually moves estimates, because a symmetric pending application lifts both worlds and leaves the grant's increment nearly unchanged.</w:t>
      </w:r>
    </w:p>
    <w:p>
      <w:pPr>
        <w:pStyle w:val="Heading3"/>
        <w:bidi w:val="0"/>
        <w:ind w:hanging="0" w:left="0" w:right="0"/>
        <w:rPr/>
      </w:pPr>
      <w:r>
        <w:rPr/>
        <w:t>CL-16: Report the spread of realised 2030 value, not of expectations [Proposed 2026-10-16, by Claude]</w:t>
      </w:r>
    </w:p>
    <w:p>
      <w:pPr>
        <w:pStyle w:val="BodyText"/>
        <w:bidi w:val="0"/>
        <w:ind w:hanging="0" w:left="0" w:right="0"/>
        <w:rPr/>
      </w:pPr>
      <w:r>
        <w:rPr>
          <w:rStyle w:val="Strong"/>
        </w:rPr>
        <w:t>Rule:</w:t>
      </w:r>
      <w:r>
        <w:rPr/>
        <w:t xml:space="preserve"> P10/median/P90 are quantiles of the grant's value as it will look from 2030 (CL-1, CL-7): simulate whether each outcome happens, and when it does, credit it at weight × (1 − P(it would have happened anyway)). Do not simulate noise around row expectations; that compresses the right tail. The mean must still equal the row-by-row EV. </w:t>
      </w:r>
      <w:r>
        <w:rPr>
          <w:rStyle w:val="Strong"/>
        </w:rPr>
        <w:t>Why:</w:t>
      </w:r>
      <w:r>
        <w:rPr/>
        <w:t xml:space="preserve"> The human user asked for P10 and P90 over value judged in 2030; a lumpy outcome (a lab practice visibly changed, a corpus recognised) is realised at several times its expected value or at zero.</w:t>
      </w:r>
    </w:p>
    <w:p>
      <w:pPr>
        <w:pStyle w:val="Heading3"/>
        <w:bidi w:val="0"/>
        <w:ind w:hanging="0" w:left="0" w:right="0"/>
        <w:rPr/>
      </w:pPr>
      <w:r>
        <w:rPr/>
        <w:t>CL-17: Scope of a CL-11 values branch [Proposed 2026-10-16, by Claude]</w:t>
      </w:r>
    </w:p>
    <w:p>
      <w:pPr>
        <w:pStyle w:val="BodyText"/>
        <w:bidi w:val="0"/>
        <w:ind w:hanging="0" w:left="0" w:right="0"/>
        <w:rPr/>
      </w:pPr>
      <w:r>
        <w:rPr>
          <w:rStyle w:val="Strong"/>
        </w:rPr>
        <w:t>Rule:</w:t>
      </w:r>
      <w:r>
        <w:rPr/>
        <w:t xml:space="preserve"> When pricing a grant under each answer to a contested values question, change only the rows whose sign or size depends on that answer, plus rows whose empirical premise is strongly correlated with it (state the correlation). Values-neutral rows (observation, evals, infrastructure, talent pipeline, charges) are identical across branches. Give the mixture weight in the headline and both branch totals. </w:t>
      </w:r>
      <w:r>
        <w:rPr>
          <w:rStyle w:val="Strong"/>
        </w:rPr>
        <w:t>Why:</w:t>
      </w:r>
      <w:r>
        <w:rPr/>
        <w:t xml:space="preserve"> Attaching a general pessimism multiplier to every row turns a values question into a confidence haircut and double-counts the downside rows.</w:t>
      </w:r>
    </w:p>
    <w:p>
      <w:pPr>
        <w:pStyle w:val="Heading3"/>
        <w:bidi w:val="0"/>
        <w:ind w:hanging="0" w:left="0" w:right="0"/>
        <w:rPr/>
      </w:pPr>
      <w:r>
        <w:rPr/>
        <w:t>CL-18: What counts as "post-2030" under CL-7 [Proposed 2026-10-16, by Claude]</w:t>
      </w:r>
    </w:p>
    <w:p>
      <w:pPr>
        <w:pStyle w:val="BodyText"/>
        <w:bidi w:val="0"/>
        <w:ind w:hanging="0" w:left="0" w:right="0"/>
        <w:rPr/>
      </w:pPr>
      <w:r>
        <w:rPr>
          <w:rStyle w:val="Strong"/>
        </w:rPr>
        <w:t>Rule:</w:t>
      </w:r>
      <w:r>
        <w:rPr/>
        <w:t xml:space="preserve"> The post-2030 share means value from activity that occurs after 2030 (an organization still operating in 2031+, the post-2030 portion of a tail outcome), discounted for TAI. Unit prices on the weights list (researcher-year, fellowship, lab point) are already values judged from 2030 under the stated worldview, so the downstream of a pre-2030 output is not split again into pre- and post-2030 parts and discounted a second time. Report the downstream-inclusive share as a secondary figure. </w:t>
      </w:r>
      <w:r>
        <w:rPr>
          <w:rStyle w:val="Strong"/>
        </w:rPr>
        <w:t>Why:</w:t>
      </w:r>
      <w:r>
        <w:rPr/>
        <w:t xml:space="preserve"> Splitting and then discounting counts the worldview twice, and without a fixed definition the reported share moves a lot on reporting choices alone.</w:t>
      </w:r>
    </w:p>
    <w:p>
      <w:pPr>
        <w:pStyle w:val="Heading3"/>
        <w:bidi w:val="0"/>
        <w:ind w:hanging="0" w:left="0" w:right="0"/>
        <w:rPr/>
      </w:pPr>
      <w:r>
        <w:rPr/>
        <w:t>CL-19: Hosted vs self-run programs at a venue or incubator [Proposed 2026-10-16, by Claude]</w:t>
      </w:r>
    </w:p>
    <w:p>
      <w:pPr>
        <w:pStyle w:val="BodyText"/>
        <w:bidi w:val="0"/>
        <w:ind w:hanging="0" w:left="0" w:right="0"/>
        <w:rPr/>
      </w:pPr>
      <w:r>
        <w:rPr>
          <w:rStyle w:val="Strong"/>
        </w:rPr>
        <w:t>Rule:</w:t>
      </w:r>
      <w:r>
        <w:rPr/>
        <w:t xml:space="preserve"> A program run by another organization and hosted at the grantee's venue gets only a venue/ops share of its counterfactual value, because it would mostly run elsewhere, worse or at higher cost (≈20% unless there is evidence otherwise). A program the grantee runs itself with the grant's money gets full counterfactual credit (CL-3) × P(it actually runs) × a first-run quality factor (≈0.7). </w:t>
      </w:r>
      <w:r>
        <w:rPr>
          <w:rStyle w:val="Strong"/>
        </w:rPr>
        <w:t>Why:</w:t>
      </w:r>
      <w:r>
        <w:rPr/>
        <w:t xml:space="preserve"> Without this, venue grants either claim hosted programs in full (overcounting) or apply arbitrary "shares" to their own programs (a credit pie).</w:t>
      </w:r>
    </w:p>
    <w:p>
      <w:pPr>
        <w:pStyle w:val="Heading3"/>
        <w:bidi w:val="0"/>
        <w:ind w:hanging="0" w:left="0" w:right="0"/>
        <w:rPr/>
      </w:pPr>
      <w:r>
        <w:rPr/>
        <w:t>CL-20: Grants to a project of a troubled parent or fiscal sponsor [Proposed 2026-10-16, by Claude]</w:t>
      </w:r>
    </w:p>
    <w:p>
      <w:pPr>
        <w:pStyle w:val="BodyText"/>
        <w:bidi w:val="0"/>
        <w:ind w:hanging="0" w:left="0" w:right="0"/>
        <w:rPr/>
      </w:pPr>
      <w:r>
        <w:rPr>
          <w:rStyle w:val="Strong"/>
        </w:rPr>
        <w:t>Rule:</w:t>
      </w:r>
      <w:r>
        <w:rPr/>
        <w:t xml:space="preserve"> A project with no separate legal existence shares its parent's liabilities and reputation. Price these as signed rows, never as a general haircut (CL-17): (i) liability/fungibility exposure, as the expected fraction of program value lost to the parent's obligations; (ii) an empirical incident or scandal row; and (iii) the values-laden part, such as harm to community trust norms, under CL-11. All three are usually sublinear in grant size. Note that a restricted or pay-for-service structure removes most of (i) and (ii). </w:t>
      </w:r>
      <w:r>
        <w:rPr>
          <w:rStyle w:val="Strong"/>
        </w:rPr>
        <w:t>Why:</w:t>
      </w:r>
      <w:r>
        <w:rPr/>
        <w:t xml:space="preserve"> These risks are real but specific. A blanket discount hides which part is a factual risk and which is a values call for the human user.</w:t>
      </w:r>
    </w:p>
    <w:p>
      <w:pPr>
        <w:pStyle w:val="Heading3"/>
        <w:bidi w:val="0"/>
        <w:ind w:hanging="0" w:left="0" w:right="0"/>
        <w:rPr/>
      </w:pPr>
      <w:r>
        <w:rPr/>
        <w:t>CL-21: Freed backstop [Proposed 2026-10-16, by Claude]</w:t>
      </w:r>
    </w:p>
    <w:p>
      <w:pPr>
        <w:pStyle w:val="BodyText"/>
        <w:bidi w:val="0"/>
        <w:ind w:hanging="0" w:left="0" w:right="0"/>
        <w:rPr/>
      </w:pPr>
      <w:r>
        <w:rPr>
          <w:rStyle w:val="Strong"/>
        </w:rPr>
        <w:t>Rule:</w:t>
      </w:r>
      <w:r>
        <w:rPr/>
        <w:t xml:space="preserve"> When a grant relieves a named party of a committed backstop, credit the expected dollars freed at the CL-4 money price × P(the backstop would have been drawn). </w:t>
      </w:r>
      <w:r>
        <w:rPr>
          <w:rStyle w:val="Strong"/>
        </w:rPr>
        <w:t>Why:</w:t>
      </w:r>
      <w:r>
        <w:rPr/>
        <w:t xml:space="preserve"> This is the mirror image of CL-4. Money the grant releases elsewhere has value just as money it pulls in has cost.</w:t>
      </w:r>
    </w:p>
    <w:p>
      <w:pPr>
        <w:pStyle w:val="Heading3"/>
        <w:bidi w:val="0"/>
        <w:ind w:hanging="0" w:left="0" w:right="0"/>
        <w:rPr/>
      </w:pPr>
      <w:r>
        <w:rPr/>
        <w:t>CL-22: Grants above the amount asked [Proposed 2026-10-16, by Claude]</w:t>
      </w:r>
    </w:p>
    <w:p>
      <w:pPr>
        <w:pStyle w:val="BodyText"/>
        <w:bidi w:val="0"/>
        <w:ind w:hanging="0" w:left="0" w:right="0"/>
        <w:rPr/>
      </w:pPr>
      <w:r>
        <w:rPr>
          <w:rStyle w:val="Strong"/>
        </w:rPr>
        <w:t>Rule:</w:t>
      </w:r>
      <w:r>
        <w:rPr/>
        <w:t xml:space="preserve"> When the grant exceeds the applicant's ask, price the excess as runway extension plus the applicant's lowest-ranked or most speculative initiatives, add a signed discipline/idling charge, and don't scale the ask's ledger linearly. Positive rows may hold or rise per dollar between tiers only for a named threshold (e.g. runway that covers a specific year, a fixed-cost hire). Otherwise assume diminishing returns. </w:t>
      </w:r>
      <w:r>
        <w:rPr>
          <w:rStyle w:val="Strong"/>
        </w:rPr>
        <w:t>Why:</w:t>
      </w:r>
      <w:r>
        <w:rPr/>
        <w:t xml:space="preserve"> Without a rule, estimators either multiplied the ask's ledger up or guessed. Both failed CL-9.</w:t>
      </w:r>
    </w:p>
    <w:p>
      <w:pPr>
        <w:pStyle w:val="Heading3"/>
        <w:bidi w:val="0"/>
        <w:ind w:hanging="0" w:left="0" w:right="0"/>
        <w:rPr/>
      </w:pPr>
      <w:r>
        <w:rPr/>
        <w:t>CL-23: Reported-but-unlisted grants and per-year survival rows [Proposed 2026-10-16, by Claude]</w:t>
      </w:r>
    </w:p>
    <w:p>
      <w:pPr>
        <w:pStyle w:val="BodyText"/>
        <w:bidi w:val="0"/>
        <w:ind w:hanging="0" w:left="0" w:right="0"/>
        <w:rPr/>
      </w:pPr>
      <w:r>
        <w:rPr>
          <w:rStyle w:val="Strong"/>
        </w:rPr>
        <w:t>Rule:</w:t>
      </w:r>
      <w:r>
        <w:rPr/>
        <w:t xml:space="preserve"> A grant another funder reportedly made, but which is missing from that funder's public list, is a pledge at a stated probability, kept the same in both worlds (as in CL-14). For an organization whose death without the grant is not imminent, use per-year "operating at scale" probabilities with partial-loss states (downsizing, not just closure). Let the no-grant path include ordinary future fundraising (CL-8), and move the probabilities only in the years the grant's banked runway actually covers. </w:t>
      </w:r>
      <w:r>
        <w:rPr>
          <w:rStyle w:val="Strong"/>
        </w:rPr>
        <w:t>Why:</w:t>
      </w:r>
      <w:r>
        <w:rPr/>
        <w:t xml:space="preserve"> A single binary "survives" row overstates bridge grants to organizations that would likely limp on. Treating an unconfirmed grant as certain, or as zero, swings the no-grant world.</w:t>
      </w:r>
    </w:p>
    <w:p>
      <w:pPr>
        <w:pStyle w:val="Heading3"/>
        <w:bidi w:val="0"/>
        <w:ind w:hanging="0" w:left="0" w:right="0"/>
        <w:rPr/>
      </w:pPr>
      <w:r>
        <w:rPr/>
        <w:t>CL-24: Games as an exposure class, and their borrowed streaming reach [Proposed 2026-10-17, by Claude]</w:t>
      </w:r>
    </w:p>
    <w:p>
      <w:pPr>
        <w:pStyle w:val="BodyText"/>
        <w:bidi w:val="0"/>
        <w:ind w:hanging="0" w:left="0" w:right="0"/>
        <w:rPr/>
      </w:pPr>
      <w:r>
        <w:rPr>
          <w:rStyle w:val="Strong"/>
        </w:rPr>
        <w:t>Rule:</w:t>
      </w:r>
      <w:r>
        <w:rPr/>
        <w:t xml:space="preserve"> For a video game, split owners by playtime: heavy players (&gt;20h) as Sustained (Y=3) with Δ cut by a message-fidelity factor (≈0.4–0.6 when the argument is carried by mechanics rather than text); 1–20h as Long-form; &lt;1h and free-demo players as Glance; never-launched owners at zero. Stream audiences are borrowed reach counted in unique viewers: full let's-play viewers ≈0.3 per copy sold (Engaged, Long-form), clip/feed viewers ≈2.5 per copy (General, Glance). Apply the fidelity cut once, to Δ; don't also lower Y or add a separate blanket backfire haircut. </w:t>
      </w:r>
      <w:r>
        <w:rPr>
          <w:rStyle w:val="Strong"/>
        </w:rPr>
        <w:t>Why:</w:t>
      </w:r>
      <w:r>
        <w:rPr/>
        <w:t xml:space="preserve"> The PERCYs exposure classes don't describe deep interactive play; without a rule, estimators either treated all players as a year-long returning audience or double-discounted them.</w:t>
      </w:r>
    </w:p>
    <w:p>
      <w:pPr>
        <w:pStyle w:val="Heading3"/>
        <w:bidi w:val="0"/>
        <w:ind w:hanging="0" w:left="0" w:right="0"/>
        <w:rPr/>
      </w:pPr>
      <w:r>
        <w:rPr/>
        <w:t>CL-25: Cultural-hit lump for mass media [Proposed 2026-10-17, by Claude]</w:t>
      </w:r>
    </w:p>
    <w:p>
      <w:pPr>
        <w:pStyle w:val="BodyText"/>
        <w:bidi w:val="0"/>
        <w:ind w:hanging="0" w:left="0" w:right="0"/>
        <w:rPr/>
      </w:pPr>
      <w:r>
        <w:rPr>
          <w:rStyle w:val="Strong"/>
        </w:rPr>
        <w:t>Rule:</w:t>
      </w:r>
      <w:r>
        <w:rPr/>
        <w:t xml:space="preserve"> For a game, film or similar product, add at most one step row for a cultural breakout, only at clear thresholds (e.g. ≥300k and ≥1M owners for a game; nothing at 100k), priced at no more than about 1/8 of the smallest comparable listed social-shift entry, counted once; the audience below those thresholds stays in the per-person PERCYs rows. </w:t>
      </w:r>
      <w:r>
        <w:rPr>
          <w:rStyle w:val="Strong"/>
        </w:rPr>
        <w:t>Why:</w:t>
      </w:r>
      <w:r>
        <w:rPr/>
        <w:t xml:space="preserve"> CL-6 makes listed entries (IABIED bestseller, AI 2027) upper bounds and CL-5 forbids re-counting the same audience; the nearest precedent (Universal Paperclips) produced no listed milestone.</w:t>
      </w:r>
    </w:p>
    <w:p>
      <w:pPr>
        <w:pStyle w:val="Heading3"/>
        <w:bidi w:val="0"/>
        <w:ind w:hanging="0" w:left="0" w:right="0"/>
        <w:rPr/>
      </w:pPr>
      <w:r>
        <w:rPr/>
        <w:t>CL-26: Talent redirected by entertainment media [Proposed 2026-10-17, by Claude]</w:t>
      </w:r>
    </w:p>
    <w:p>
      <w:pPr>
        <w:pStyle w:val="BodyText"/>
        <w:bidi w:val="0"/>
        <w:ind w:hanging="0" w:left="0" w:right="0"/>
        <w:rPr/>
      </w:pPr>
      <w:r>
        <w:rPr>
          <w:rStyle w:val="Strong"/>
        </w:rPr>
        <w:t>Rule:</w:t>
      </w:r>
      <w:r>
        <w:rPr/>
        <w:t xml:space="preserve"> Price people a piece of media moves into safety work as discrete (Poisson) events. Anchor the rate on HPMOR (~1 per 5k readers) scaled down by how explicitly the work points at the field (≈1/20–1/30 for a work that never names it), with "would have entered anyway" inside the rate. Value each at pre-2030 researcher-years (with a ramp) plus post-2030 years at the TAI discount, at the researcher-year price. </w:t>
      </w:r>
      <w:r>
        <w:rPr>
          <w:rStyle w:val="Strong"/>
        </w:rPr>
        <w:t>Why:</w:t>
      </w:r>
      <w:r>
        <w:rPr/>
        <w:t xml:space="preserve"> The PERCYs pipeline rule prices communicator output, not research careers, and this row is often the largest one in a media grant, so it needs a common anchor.</w:t>
      </w:r>
    </w:p>
    <w:p>
      <w:pPr>
        <w:pStyle w:val="Heading3"/>
        <w:bidi w:val="0"/>
        <w:ind w:hanging="0" w:left="0" w:right="0"/>
        <w:rPr/>
      </w:pPr>
      <w:r>
        <w:rPr/>
        <w:t>CL-27: Reputational charge for deliberately edgy products [Proposed 2026-10-17, by Claude]</w:t>
      </w:r>
    </w:p>
    <w:p>
      <w:pPr>
        <w:pStyle w:val="BodyText"/>
        <w:bidi w:val="0"/>
        <w:ind w:hanging="0" w:left="0" w:right="0"/>
        <w:rPr/>
      </w:pPr>
      <w:r>
        <w:rPr>
          <w:rStyle w:val="Strong"/>
        </w:rPr>
        <w:t>Rule:</w:t>
      </w:r>
      <w:r>
        <w:rPr/>
        <w:t xml:space="preserve"> When a funded product is deliberately provocative (e.g. shock-value or deliberately offensive content), price a signed event "a hostile piece names the funder": probability ≈3% base, plus about 1 point per $1M above the ask, ×3 if the product gets press-worthy traction; cost for a one-news-cycle story ≈ 1/140 of the OpenAI-board-crisis entry (≈ −50). Put the funder's tolerance for this exposure in a CL-11 branch rather than a general haircut. </w:t>
      </w:r>
      <w:r>
        <w:rPr>
          <w:rStyle w:val="Strong"/>
        </w:rPr>
        <w:t>Why:</w:t>
      </w:r>
      <w:r>
        <w:rPr/>
        <w:t xml:space="preserve"> The story is about the funder's judgment, so its odds rise with the cheque and with the product's visibility; without a rule, estimators' prices for the same event differed by orders of magnitude.</w:t>
      </w:r>
    </w:p>
    <w:p>
      <w:pPr>
        <w:pStyle w:val="Heading3"/>
        <w:bidi w:val="0"/>
        <w:ind w:hanging="0" w:left="0" w:right="0"/>
        <w:rPr/>
      </w:pPr>
      <w:r>
        <w:rPr/>
        <w:t>CL-28: Earned revenue versus follow-on grants [Proposed 2026-10-17, by Claude]</w:t>
      </w:r>
    </w:p>
    <w:p>
      <w:pPr>
        <w:pStyle w:val="BodyText"/>
        <w:bidi w:val="0"/>
        <w:ind w:hanging="0" w:left="0" w:right="0"/>
        <w:rPr/>
      </w:pPr>
      <w:r>
        <w:rPr>
          <w:rStyle w:val="Strong"/>
        </w:rPr>
        <w:t>Rule:</w:t>
      </w:r>
      <w:r>
        <w:rPr/>
        <w:t xml:space="preserve"> Product revenue the grantee earns (sales, tickets) is earned revenue under CL-8, not a CL-4 charge. Follow-on grants the grantee says it will seek are charged at the CL-4 money price, with the probability raised (≈×1.8) if the product shows traction and lowered (≈×0.7) otherwise. Grant-funded continuation after 2030 is charged inside its own row, not again in the follow-on row. </w:t>
      </w:r>
      <w:r>
        <w:rPr>
          <w:rStyle w:val="Strong"/>
        </w:rPr>
        <w:t>Why:</w:t>
      </w:r>
      <w:r>
        <w:rPr/>
        <w:t xml:space="preserve"> CL-4 charges resources pulled from elsewhere; sales are not; and charging continuation twice double-counts (CL-5).</w:t>
      </w:r>
    </w:p>
    <w:p>
      <w:pPr>
        <w:pStyle w:val="Heading3"/>
        <w:bidi w:val="0"/>
        <w:ind w:hanging="0" w:left="0" w:right="0"/>
        <w:rPr/>
      </w:pPr>
      <w:r>
        <w:rPr/>
        <w:t>CL-29: Leader-commitment-gated, refundable grants [Proposed 2026-10-17, by Claude]</w:t>
      </w:r>
    </w:p>
    <w:p>
      <w:pPr>
        <w:pStyle w:val="BodyText"/>
        <w:bidi w:val="0"/>
        <w:ind w:hanging="0" w:left="0" w:right="0"/>
        <w:rPr/>
      </w:pPr>
      <w:r>
        <w:rPr>
          <w:rStyle w:val="Strong"/>
        </w:rPr>
        <w:t>Rule:</w:t>
      </w:r>
      <w:r>
        <w:rPr/>
        <w:t xml:space="preserve"> When the applicant's lead has promised to decide before disbursement and return the money if not fully in, model commitment as a gate whose probability may depend on grant size (from the applicant's own statements), value the refund branch at exactly 0 (both worlds identical, no CL-4 charge, no no-grant revival difference), and report P(=0) separately from P(&lt;0). Report per-$1M both nominal and per dollar expected to be spent, and the conditional-on-commit figures, since the grantmaker may learn the answer before money moves. </w:t>
      </w:r>
      <w:r>
        <w:rPr>
          <w:rStyle w:val="Strong"/>
        </w:rPr>
        <w:t>Why:</w:t>
      </w:r>
      <w:r>
        <w:rPr/>
        <w:t xml:space="preserve"> Treating the refund branch as wasted money overstates the downside; treating commitment as certain overstates value; and the median can legitimately sit at zero. </w:t>
      </w:r>
      <w:r>
        <w:rPr>
          <w:rStyle w:val="Emphasis"/>
        </w:rPr>
        <w:t>(Superseded in part by Adopted CL-33: the headline is now the value conditional on disbursement, and P(=0) and the unconditional figures need not be reported.)</w:t>
      </w:r>
    </w:p>
    <w:p>
      <w:pPr>
        <w:pStyle w:val="Heading3"/>
        <w:bidi w:val="0"/>
        <w:ind w:hanging="0" w:left="0" w:right="0"/>
        <w:rPr/>
      </w:pPr>
      <w:r>
        <w:rPr/>
        <w:t>CL-30: Applicant-defined reach metrics need an audit before conversion [Proposed 2026-10-17, by Claude]</w:t>
      </w:r>
    </w:p>
    <w:p>
      <w:pPr>
        <w:pStyle w:val="BodyText"/>
        <w:bidi w:val="0"/>
        <w:ind w:hanging="0" w:left="0" w:right="0"/>
        <w:rPr/>
      </w:pPr>
      <w:r>
        <w:rPr>
          <w:rStyle w:val="Strong"/>
        </w:rPr>
        <w:t>Rule:</w:t>
      </w:r>
      <w:r>
        <w:rPr/>
        <w:t xml:space="preserve"> Before converting an applicant's topical reach figure (e.g. "topic-relevant views") to PERCYs, check any single item over ~25% of the total and look for an independent audit. Convert only strictly on-topic units at the full PERCYs rate and the applicant's broader category at about one-third of it; adjacent content that does not move the AI-risk scale counts at ≤0.25. If no audit exists, assume the applicant's figure is about 3× the strict one. Apply any salience-saturation factor after major warning-shot events to general-audience Δ only, and state it. </w:t>
      </w:r>
      <w:r>
        <w:rPr>
          <w:rStyle w:val="Strong"/>
        </w:rPr>
        <w:t>Why:</w:t>
      </w:r>
      <w:r>
        <w:rPr/>
        <w:t xml:space="preserve"> A single viral adjacent item can dominate an applicant's reported total, and independent audits can find the strictly on-topic figure is a small fraction of the headline; Δ per glance-view also falls once most of the audience has a handle on the issue.</w:t>
      </w:r>
    </w:p>
    <w:p>
      <w:pPr>
        <w:pStyle w:val="Heading3"/>
        <w:bidi w:val="0"/>
        <w:ind w:hanging="0" w:left="0" w:right="0"/>
        <w:rPr/>
      </w:pPr>
      <w:r>
        <w:rPr/>
        <w:t>CL-31: Grant-caused continuation of a program that dies without the grant [Proposed 2026-10-17, by Claude]</w:t>
      </w:r>
    </w:p>
    <w:p>
      <w:pPr>
        <w:pStyle w:val="BodyText"/>
        <w:bidi w:val="0"/>
        <w:ind w:hanging="0" w:left="0" w:right="0"/>
        <w:rPr/>
      </w:pPr>
      <w:r>
        <w:rPr>
          <w:rStyle w:val="Strong"/>
        </w:rPr>
        <w:t>Rule:</w:t>
      </w:r>
      <w:r>
        <w:rPr/>
        <w:t xml:space="preserve"> When the no-grant world is "the program dies", credit continuation years the grant makes possible at stated per-year probabilities (CL-23 chain), valued on the same per-cohort ledger as the funded year (quality, P(run), downsides and mixture included), with a crowding decay (CL-6) and the CL-4 money charge for each year's fundraising (CL-28). A later round of the same funder is ordinary fundraising in the grant world (CL-8 forbids it only in the no-grant world), including a within-year top-up for a partial grant, credited net of the money charge. Always report the share of value from the funded year's spending; a continuation share above ~40% should trigger a re-check of the per-year probabilities. </w:t>
      </w:r>
      <w:r>
        <w:rPr>
          <w:rStyle w:val="Strong"/>
        </w:rPr>
        <w:t>Why:</w:t>
      </w:r>
      <w:r>
        <w:rPr/>
        <w:t xml:space="preserve"> Without this, estimators either valued continuation years at an undiscounted gross figure or ignored partial-grant top-ups entirely; both distort the ratio between grant sizes.</w:t>
      </w:r>
    </w:p>
    <w:p>
      <w:pPr>
        <w:pStyle w:val="Heading3"/>
        <w:bidi w:val="0"/>
        <w:ind w:hanging="0" w:left="0" w:right="0"/>
        <w:rPr/>
      </w:pPr>
      <w:r>
        <w:rPr/>
        <w:t>CL-32: Already-realised reputational events and founder-profile risk [Proposed 2026-10-17, by Claude]</w:t>
      </w:r>
    </w:p>
    <w:p>
      <w:pPr>
        <w:pStyle w:val="BodyText"/>
        <w:bidi w:val="0"/>
        <w:ind w:hanging="0" w:left="0" w:right="0"/>
        <w:rPr/>
      </w:pPr>
      <w:r>
        <w:rPr>
          <w:rStyle w:val="Strong"/>
        </w:rPr>
        <w:t>Rule:</w:t>
      </w:r>
      <w:r>
        <w:rPr/>
        <w:t xml:space="preserve"> A hostile story that has already run before the decision is not charged to the grant, but it raises the probability of a further story (the subject is now on reporters' lists) and the realised story's content is evidence about who a sequel would name. CL-27 prices risk from a provocative product; reputational risk from founders' or leaders' personal public profiles (e.g. past personal posts, a co-founder's public brand, an organisational conduct culture) is a separate signed row: probability set from the existing press trail (≈8–12% per grant year for a story that reaches the funder), cost ≈1/70 of the OpenAI-board-crisis entry (≈ −100), doubled in the CL-11 "brand is a harm" branch, with a separate low-probability serious-incident row (≈3% per residential cohort, ≈ −250) for programs that house young participants. </w:t>
      </w:r>
      <w:r>
        <w:rPr>
          <w:rStyle w:val="Strong"/>
        </w:rPr>
        <w:t>Why:</w:t>
      </w:r>
      <w:r>
        <w:rPr/>
        <w:t xml:space="preserve"> Charging a story that has already run double-counts; applying CL-27's 3% product base to personal edginess under-prices; and a general haircut hides which part is empirical and which is a values call.</w:t>
      </w:r>
    </w:p>
    <w:p>
      <w:pPr>
        <w:pStyle w:val="Heading3"/>
        <w:bidi w:val="0"/>
        <w:ind w:hanging="0" w:left="0" w:right="0"/>
        <w:rPr/>
      </w:pPr>
      <w:r>
        <w:rPr/>
        <w:t>CL-34: Funging with an intended but unsubmitted application to a repeat funder [Proposed 2026-10-18, by Claude]</w:t>
      </w:r>
    </w:p>
    <w:p>
      <w:pPr>
        <w:pStyle w:val="BodyText"/>
        <w:bidi w:val="0"/>
        <w:ind w:hanging="0" w:left="0" w:right="0"/>
        <w:rPr/>
      </w:pPr>
      <w:r>
        <w:rPr>
          <w:rStyle w:val="Strong"/>
        </w:rPr>
        <w:t>Rule:</w:t>
      </w:r>
      <w:r>
        <w:rPr/>
        <w:t xml:space="preserve"> An application the applicant says it will make to a funder that has funded it before is modelled like a pending one (CL-14): same probability in both worlds, set from the funder's history and any forecast. Unlike CL-14, the </w:t>
      </w:r>
      <w:r>
        <w:rPr>
          <w:rStyle w:val="Emphasis"/>
        </w:rPr>
        <w:t>expected award</w:t>
      </w:r>
      <w:r>
        <w:rPr/>
        <w:t xml:space="preserve"> may fall with the grant for the stated reason that the applicant writes its own ask around the remaining gap and the other funder caps on runway; the reduction should be convex in grant size (small when the grant leaves the plan visibly unfilled, approaching the other funder's usual award once the grant covers the plan year) and capped at that award. Net the reduction from the grantee's resources and credit it at the CL-4 money price (CL-21 logic). Never let the probability differ between worlds without a stated mechanism. </w:t>
      </w:r>
      <w:r>
        <w:rPr>
          <w:rStyle w:val="Strong"/>
        </w:rPr>
        <w:t>Why:</w:t>
      </w:r>
      <w:r>
        <w:rPr/>
        <w:t xml:space="preserve"> Treating the unsubmitted application as zero overstates the grant; treating it as secured understates it; and a flat funging fraction misses that the applicant's ask, not the funder's taste, is what the grant changes.</w:t>
      </w:r>
    </w:p>
    <w:p>
      <w:pPr>
        <w:pStyle w:val="Heading3"/>
        <w:bidi w:val="0"/>
        <w:ind w:hanging="0" w:left="0" w:right="0"/>
        <w:rPr/>
      </w:pPr>
      <w:r>
        <w:rPr/>
        <w:t>CL-35: Grant within the ask but above absorptive capacity [Proposed 2026-10-18, by Claude]</w:t>
      </w:r>
    </w:p>
    <w:p>
      <w:pPr>
        <w:pStyle w:val="BodyText"/>
        <w:bidi w:val="0"/>
        <w:ind w:hanging="0" w:left="0" w:right="0"/>
        <w:rPr/>
      </w:pPr>
      <w:r>
        <w:rPr>
          <w:rStyle w:val="Strong"/>
        </w:rPr>
        <w:t>Rule:</w:t>
      </w:r>
      <w:r>
        <w:rPr/>
        <w:t xml:space="preserve"> CL-22 applies whenever the grant plus funding received or expected after the application was written exceeds what the applicant can spend in the plan year, even if the grant is within the ask. Cap the plan-year spend increment from the applicant's own hiring-rate statements (as a distribution, not a point), treat the rest as banked runway valued at the mixture of (a) the money price for the share that displaces the applicant's ordinary next-year fundraising (CL-8) and (b) the marginal program value for the share that becomes extra next-year program, add a signed idling/discipline charge above a stated threshold, and report the uncapped figure as a sensitivity. </w:t>
      </w:r>
      <w:r>
        <w:rPr>
          <w:rStyle w:val="Strong"/>
        </w:rPr>
        <w:t>Why:</w:t>
      </w:r>
      <w:r>
        <w:rPr/>
        <w:t xml:space="preserve"> An ask written before other funders decided is not the applicant's need; without a cap the top tranche inherits the first tranche's value and fails CL-9.</w:t>
      </w:r>
    </w:p>
    <w:p>
      <w:pPr>
        <w:pStyle w:val="Heading3"/>
        <w:bidi w:val="0"/>
        <w:ind w:hanging="0" w:left="0" w:right="0"/>
        <w:rPr/>
      </w:pPr>
      <w:r>
        <w:rPr/>
        <w:t>CL-36: Scaling risk as signed rows [Proposed 2026-10-18, by Claude]</w:t>
      </w:r>
    </w:p>
    <w:p>
      <w:pPr>
        <w:pStyle w:val="BodyText"/>
        <w:bidi w:val="0"/>
        <w:ind w:hanging="0" w:left="0" w:right="0"/>
        <w:rPr/>
      </w:pPr>
      <w:r>
        <w:rPr>
          <w:rStyle w:val="Strong"/>
        </w:rPr>
        <w:t>Rule:</w:t>
      </w:r>
      <w:r>
        <w:rPr/>
        <w:t xml:space="preserve"> For a grant that funds a headcount jump at an organisation with a thin management record, price (i) bad hires as a Poisson count at about one per three hires beyond the first one or two already-identified candidates, each costing one to two months of a senior person-year on the organisation's own ledger, and (ii) a management-breakdown episode whose probability rises steeply (≈cubic) with the expansion relative to the current team, costing about a senior person-year. Do not add a separate per-hire management drag: the manager time an ordinary hire consumes is already inside the marginal-vs-average factor (CL-17, price once). Report the charges separately from the marginal factor so the two cannot double-count. </w:t>
      </w:r>
      <w:r>
        <w:rPr>
          <w:rStyle w:val="Strong"/>
        </w:rPr>
        <w:t>Why:</w:t>
      </w:r>
      <w:r>
        <w:rPr/>
        <w:t xml:space="preserve"> Without a rule, estimators' charges varied widely and included a drag term and a "managers stretched" tier that priced the same cost twice.</w:t>
      </w:r>
    </w:p>
    <w:p>
      <w:pPr>
        <w:pStyle w:val="Heading3"/>
        <w:bidi w:val="0"/>
        <w:ind w:hanging="0" w:left="0" w:right="0"/>
        <w:rPr/>
      </w:pPr>
      <w:r>
        <w:rPr/>
        <w:t>CL-37: The marginal factor for expansion grants is bounded by the non-founder average dollar [Proposed 2026-10-18, by Claude]</w:t>
      </w:r>
    </w:p>
    <w:p>
      <w:pPr>
        <w:pStyle w:val="BodyText"/>
        <w:bidi w:val="0"/>
        <w:ind w:hanging="0" w:left="0" w:right="0"/>
        <w:rPr/>
      </w:pPr>
      <w:r>
        <w:rPr>
          <w:rStyle w:val="Strong"/>
        </w:rPr>
        <w:t>Rule:</w:t>
      </w:r>
      <w:r>
        <w:rPr/>
        <w:t xml:space="preserve"> When a grant buys additional staff at an existing organisation, state the share of the organisation's value produced by its senior people and derive the average value of a non-founder dollar; the first tranche of new hires is worth at most that non-founder average (an un-bottlenecking argument can put it at the top of the range, not above it), with later tranches declining. A correlated execution factor on program rows (did the hires work) is consistent with CL-16 as a realised 2030 fact, but it must not multiply the charge rows and must not be compounded with a second dispersion on the same factor. </w:t>
      </w:r>
      <w:r>
        <w:rPr>
          <w:rStyle w:val="Strong"/>
        </w:rPr>
        <w:t>Why:</w:t>
      </w:r>
      <w:r>
        <w:rPr/>
        <w:t xml:space="preserve"> This is CL-9/CL-15 applied inside the organisation; without it estimators can price the first marginal dollar above the dollars already spent on non-founders, or widen the spread with stacked multipliers.</w:t>
      </w:r>
    </w:p>
    <w:p>
      <w:pPr>
        <w:pStyle w:val="Heading3"/>
        <w:bidi w:val="0"/>
        <w:ind w:hanging="0" w:left="0" w:right="0"/>
        <w:rPr/>
      </w:pPr>
      <w:r>
        <w:rPr/>
        <w:t>CL-38: Persistence of grant-funded hires at an organisation that survives without the grant [Proposed 2026-10-18, by Claude]</w:t>
      </w:r>
    </w:p>
    <w:p>
      <w:pPr>
        <w:pStyle w:val="BodyText"/>
        <w:bidi w:val="0"/>
        <w:ind w:hanging="0" w:left="0" w:right="0"/>
        <w:rPr/>
      </w:pPr>
      <w:r>
        <w:rPr>
          <w:rStyle w:val="Strong"/>
        </w:rPr>
        <w:t>Rule:</w:t>
      </w:r>
      <w:r>
        <w:rPr/>
        <w:t xml:space="preserve"> When the no-grant organisation survives and fundraises normally (CL-8), credit the next-year persistence of grant-funded hires only as a timing gain: roughly 0.1–0.2 of the plan-year increment (months ahead × retention × the share the no-grant organisation would not have hired anyway), net of a CL-4 money charge for the next-year money that pays them. CL-31 (continuation of a program that dies) does not apply. </w:t>
      </w:r>
      <w:r>
        <w:rPr>
          <w:rStyle w:val="Strong"/>
        </w:rPr>
        <w:t>Why:</w:t>
      </w:r>
      <w:r>
        <w:rPr/>
        <w:t xml:space="preserve"> Crediting 30%+ of a second program-year quietly credits other funders' next-year money; crediting nothing ignores that hiring is slow.</w:t>
      </w:r>
    </w:p>
    <w:p>
      <w:pPr>
        <w:pStyle w:val="Heading3"/>
        <w:bidi w:val="0"/>
        <w:ind w:hanging="0" w:left="0" w:right="0"/>
        <w:rPr/>
      </w:pPr>
      <w:r>
        <w:rPr/>
        <w:t>CL-39: Expansion grants at organisations whose marginal spend is external contractors [Proposed 2026-10-18, by Claude]</w:t>
      </w:r>
    </w:p>
    <w:p>
      <w:pPr>
        <w:pStyle w:val="BodyText"/>
        <w:bidi w:val="0"/>
        <w:ind w:hanging="0" w:left="0" w:right="0"/>
        <w:rPr/>
      </w:pPr>
      <w:r>
        <w:rPr>
          <w:rStyle w:val="Strong"/>
        </w:rPr>
        <w:t>Rule:</w:t>
      </w:r>
      <w:r>
        <w:rPr/>
        <w:t xml:space="preserve"> When the marginal dollar mostly buys lobbyists, comms firms or other contractors rather than staff, apply CL-36's bad-hire and breakdown rows to FTE hires only (state the hires per $1M), charge no CL-4 people cost on contractor spend (those contractors would otherwise work for someone else), set CL-38 persistence at the bottom of its 0.1–0.2 range, and scale exposure-type downside rows (press, integrity incidents) with the number of campaigns rather than with the marginal factor. </w:t>
      </w:r>
      <w:r>
        <w:rPr>
          <w:rStyle w:val="Strong"/>
        </w:rPr>
        <w:t>Why:</w:t>
      </w:r>
      <w:r>
        <w:rPr/>
        <w:t xml:space="preserve"> CL-36/37/38 are written for headcount growth; applied literally to contractor spend they charge contractors as scarce safety people and price a bad campaign twice (as a bad hire and through the execution factor).</w:t>
      </w:r>
    </w:p>
    <w:p>
      <w:pPr>
        <w:pStyle w:val="Heading3"/>
        <w:bidi w:val="0"/>
        <w:ind w:hanging="0" w:left="0" w:right="0"/>
        <w:rPr/>
      </w:pPr>
      <w:r>
        <w:rPr/>
        <w:t>CL-40: Which downside rows inherit the marginal factor [Proposed 2026-10-18, by Claude]</w:t>
      </w:r>
    </w:p>
    <w:p>
      <w:pPr>
        <w:pStyle w:val="BodyText"/>
        <w:bidi w:val="0"/>
        <w:ind w:hanging="0" w:left="0" w:right="0"/>
        <w:rPr/>
      </w:pPr>
      <w:r>
        <w:rPr>
          <w:rStyle w:val="Strong"/>
        </w:rPr>
        <w:t>Rule:</w:t>
      </w:r>
      <w:r>
        <w:rPr/>
        <w:t xml:space="preserve"> Downside rows that are consequences of the substantive work the marginal dollar does (a watered-down law anchoring a weak standard, a position softened for access, a weak federal bargain) scale with share × marginal factor, like the positive rows they follow from. Exposure rows (a hostile story, a scandal, partisan coding) scale with the grant's share of activity (or of campaigns), not with the marginal factor, because a weak campaign generates incidents at the average rate. Neither kind is multiplied by the execution factor (CL-17). </w:t>
      </w:r>
      <w:r>
        <w:rPr>
          <w:rStyle w:val="Strong"/>
        </w:rPr>
        <w:t>Why:</w:t>
      </w:r>
      <w:r>
        <w:rPr/>
        <w:t xml:space="preserve"> Scaling every downside by share alone overcharges marginal dollars that produce below-average laws; scaling every downside by m undercharges incident risk from marginal campaigns.</w:t>
      </w:r>
    </w:p>
    <w:p>
      <w:pPr>
        <w:pStyle w:val="Heading3"/>
        <w:bidi w:val="0"/>
        <w:ind w:hanging="0" w:left="0" w:right="0"/>
        <w:rPr/>
      </w:pPr>
      <w:r>
        <w:rPr/>
        <w:t>CL-41: Applicant-stated plan ambition raises the absorptive cap [Proposed 2026-10-18, by Claude]</w:t>
      </w:r>
    </w:p>
    <w:p>
      <w:pPr>
        <w:pStyle w:val="BodyText"/>
        <w:bidi w:val="0"/>
        <w:ind w:hanging="0" w:left="0" w:right="0"/>
        <w:rPr/>
      </w:pPr>
      <w:r>
        <w:rPr>
          <w:rStyle w:val="Strong"/>
        </w:rPr>
        <w:t>Rule:</w:t>
      </w:r>
      <w:r>
        <w:rPr/>
        <w:t xml:space="preserve"> When the applicant says in its own words that funding commitments set how aggressively it plans (rather than naming a fixed plan), raise the CL-35 absorptive cap by a stated fraction of the grant (≈0.3) instead of holding it fixed, and say so. Keep CL-35's hiring-rate cap on the FTE part of the increment. </w:t>
      </w:r>
      <w:r>
        <w:rPr>
          <w:rStyle w:val="Strong"/>
        </w:rPr>
        <w:t>Why:</w:t>
      </w:r>
      <w:r>
        <w:rPr/>
        <w:t xml:space="preserve"> CL-35 assumes the plan year is fixed before the grant; an applicant that scales its contractor program to commitments can spend more of a large grant in-year, so a fixed cap banks money that would be spent.</w:t>
      </w:r>
    </w:p>
    <w:p>
      <w:pPr>
        <w:pStyle w:val="Heading3"/>
        <w:bidi w:val="0"/>
        <w:ind w:hanging="0" w:left="0" w:right="0"/>
        <w:rPr/>
      </w:pPr>
      <w:r>
        <w:rPr/>
        <w:t>CL-42: Pricing a sequel story by the realised bite of the stories that already ran [Proposed 2026-10-18, by Claude]</w:t>
      </w:r>
    </w:p>
    <w:p>
      <w:pPr>
        <w:pStyle w:val="BodyText"/>
        <w:bidi w:val="0"/>
        <w:ind w:hanging="0" w:left="0" w:right="0"/>
        <w:rPr/>
      </w:pPr>
      <w:r>
        <w:rPr>
          <w:rStyle w:val="Strong"/>
        </w:rPr>
        <w:t>Rule:</w:t>
      </w:r>
      <w:r>
        <w:rPr/>
        <w:t xml:space="preserve"> When hostile coverage of the applicant has already run, use its observed effect on the outcomes the applicant works on (did a bill die, did an opposing push gain a talking point) to bound the cost of a further story: the sequel's cost is at most a few times the realised one, scaled up only for a named new audience (a hearing, a governor, a coalition partner). For an advocacy organisation in a live legislative fight the ceiling is about 1/12 of the OpenAI-board-crisis entry (≈ −600) per story; CL-32's ≈ −100 remains the price for a story that reaches only the funder. </w:t>
      </w:r>
      <w:r>
        <w:rPr>
          <w:rStyle w:val="Strong"/>
        </w:rPr>
        <w:t>Why:</w:t>
      </w:r>
      <w:r>
        <w:rPr/>
        <w:t xml:space="preserve"> Without a bound, estimators priced the same event across a several-fold range; the realised stories are the only calibration available.</w:t>
      </w:r>
    </w:p>
    <w:p>
      <w:pPr>
        <w:pStyle w:val="Heading3"/>
        <w:bidi w:val="0"/>
        <w:ind w:hanging="0" w:left="0" w:right="0"/>
        <w:rPr/>
      </w:pPr>
      <w:r>
        <w:rPr/>
        <w:t>CL-43: Funders outside the platform keep their independent money in the no-grant world [Proposed 2026-10-18, by Claude; amended by the human user 2026-10-18]</w:t>
      </w:r>
    </w:p>
    <w:p>
      <w:pPr>
        <w:pStyle w:val="BodyText"/>
        <w:bidi w:val="0"/>
        <w:ind w:hanging="0" w:left="0" w:right="0"/>
        <w:rPr/>
      </w:pPr>
      <w:r>
        <w:rPr>
          <w:rStyle w:val="Strong"/>
        </w:rPr>
        <w:t>Rule:</w:t>
      </w:r>
      <w:r>
        <w:rPr/>
        <w:t xml:space="preserve"> The prompt's "if I rejected it, nobody else would approve it" and CL-8's "this money is not replaced" mean that the platform's money is not replaced. Independent allocations to the same organisation from funders outside the platform (donor-adviser recommendations, pledges, other funders' rounds and applications) stay in both worlds at whatever probability they would happen anyway (CL-14/CL-34 logic). Other evaluators' allocations on the same platform are not outside money: per Adopted CL-62 they are left out of both worlds. </w:t>
      </w:r>
      <w:r>
        <w:rPr>
          <w:rStyle w:val="Strong"/>
        </w:rPr>
        <w:t>Why:</w:t>
      </w:r>
      <w:r>
        <w:rPr/>
        <w:t xml:space="preserve"> Estimators read the prompt both ways; removing outside funders' independent money from the no-grant world inflates the gap the grant fills and the marginal factor.</w:t>
      </w:r>
    </w:p>
    <w:p>
      <w:pPr>
        <w:pStyle w:val="Heading3"/>
        <w:bidi w:val="0"/>
        <w:ind w:hanging="0" w:left="0" w:right="0"/>
        <w:rPr/>
      </w:pPr>
      <w:r>
        <w:rPr/>
        <w:t>CL-44: Adviser-recommended, unfilled funding and funding-state blending [Proposed 2026-10-18, by Claude]</w:t>
      </w:r>
    </w:p>
    <w:p>
      <w:pPr>
        <w:pStyle w:val="BodyText"/>
        <w:bidi w:val="0"/>
        <w:ind w:hanging="0" w:left="0" w:right="0"/>
        <w:rPr/>
      </w:pPr>
      <w:r>
        <w:rPr>
          <w:rStyle w:val="Strong"/>
        </w:rPr>
        <w:t>Rule:</w:t>
      </w:r>
      <w:r>
        <w:rPr/>
        <w:t xml:space="preserve"> A donor adviser's recommendation to its clients that has not been filled is pending money (CL-14/CL-34), not a pledge and not zero. State the probability of each funding state by a stated date (e.g. the next hiring tier still unfilled; filled; the adviser's larger recommendation substantially filled), identical in both worlds unless the grant is ≥ ~20% of the recommendation. Value the grant as the blend across states, with a marginal factor per state: the unfilled-tier slice at the CL-37 non-founder bound, session-critical lines of the next tier below that, and money on top of a filled plan at the plan's weaker lines (CL-22 logic). Money that arrives before the adviser's money can still buy session-critical lines, so the filled-state factor is not the plan's weakest line. </w:t>
      </w:r>
      <w:r>
        <w:rPr>
          <w:rStyle w:val="Strong"/>
        </w:rPr>
        <w:t>Why:</w:t>
      </w:r>
      <w:r>
        <w:rPr/>
        <w:t xml:space="preserve"> Policy organisations often carry large unfilled recommendations; treating them as secured zeroes the grant, treating them as absent overstates it, and a two-state blend hides the intermediate case.</w:t>
      </w:r>
    </w:p>
    <w:p>
      <w:pPr>
        <w:pStyle w:val="Heading3"/>
        <w:bidi w:val="0"/>
        <w:ind w:hanging="0" w:left="0" w:right="0"/>
        <w:rPr/>
      </w:pPr>
      <w:r>
        <w:rPr/>
        <w:t>CL-45: Ladder rows for successive upgrades of one jurisdiction's law [Proposed 2026-10-18, by Claude]</w:t>
      </w:r>
    </w:p>
    <w:p>
      <w:pPr>
        <w:pStyle w:val="BodyText"/>
        <w:bidi w:val="0"/>
        <w:ind w:hanging="0" w:left="0" w:right="0"/>
        <w:rPr/>
      </w:pPr>
      <w:r>
        <w:rPr>
          <w:rStyle w:val="Strong"/>
        </w:rPr>
        <w:t>Rule:</w:t>
      </w:r>
      <w:r>
        <w:rPr/>
        <w:t xml:space="preserve"> When a jurisdiction's law can be strengthened in stages (e.g. audits → regulator → emergency authority), price each rung as its increment over the previous rung, give it a probability of being reached by 2030, and credit every rung reached. Fold the expected use of an authority into the rung that creates it (CL-5), not into a separate "use" row. Check the ladder's sum against the nearest federal entry as a stated fraction, and keep each rung at or below the price of a comparable whole law elsewhere (CL-6). </w:t>
      </w:r>
      <w:r>
        <w:rPr>
          <w:rStyle w:val="Strong"/>
        </w:rPr>
        <w:t>Why:</w:t>
      </w:r>
      <w:r>
        <w:rPr/>
        <w:t xml:space="preserve"> Lump rows credit nothing for partial progress and hide where the value is; a separate use row double-counts the authority.</w:t>
      </w:r>
    </w:p>
    <w:p>
      <w:pPr>
        <w:pStyle w:val="Heading3"/>
        <w:bidi w:val="0"/>
        <w:ind w:hanging="0" w:left="0" w:right="0"/>
        <w:rPr/>
      </w:pPr>
      <w:r>
        <w:rPr/>
        <w:t>CL-46: Attributing a multi-year outcome to one year's spending [Proposed 2026-10-18, by Claude]</w:t>
      </w:r>
    </w:p>
    <w:p>
      <w:pPr>
        <w:pStyle w:val="BodyText"/>
        <w:bidi w:val="0"/>
        <w:ind w:hanging="0" w:left="0" w:right="0"/>
        <w:rPr/>
      </w:pPr>
      <w:r>
        <w:rPr>
          <w:rStyle w:val="Strong"/>
        </w:rPr>
        <w:t>Rule:</w:t>
      </w:r>
      <w:r>
        <w:rPr/>
        <w:t xml:space="preserve"> When a grant funds one year of a multi-year campaign, attribute to that year the share f of the critical-path effort that falls in it (drafting, sponsor recruitment, session timing), stated per row, with the shares across the campaign's years summing to at most one. Do not attribute pro-rata by budget, do not credit the whole outcome to the funded year, and do not use a higher f for a longer-horizon outcome than for a nearer one. </w:t>
      </w:r>
      <w:r>
        <w:rPr>
          <w:rStyle w:val="Strong"/>
        </w:rPr>
        <w:t>Why:</w:t>
      </w:r>
      <w:r>
        <w:rPr/>
        <w:t xml:space="preserve"> Without a stated share, one year of an advocacy organisation is credited with whole laws, which fails CL-9 when multiplied over the years it actually takes.</w:t>
      </w:r>
    </w:p>
    <w:p>
      <w:pPr>
        <w:pStyle w:val="Heading3"/>
        <w:bidi w:val="0"/>
        <w:ind w:hanging="0" w:left="0" w:right="0"/>
        <w:rPr/>
      </w:pPr>
      <w:r>
        <w:rPr/>
        <w:t>CL-47: Grantee-organised candidate fundraising and electoral work [Proposed 2026-10-18, by Claude]</w:t>
      </w:r>
    </w:p>
    <w:p>
      <w:pPr>
        <w:pStyle w:val="BodyText"/>
        <w:bidi w:val="0"/>
        <w:ind w:hanging="0" w:left="0" w:right="0"/>
        <w:rPr/>
      </w:pPr>
      <w:r>
        <w:rPr>
          <w:rStyle w:val="Strong"/>
        </w:rPr>
        <w:t>Rule:</w:t>
      </w:r>
      <w:r>
        <w:rPr/>
        <w:t xml:space="preserve"> Credit relationship value from candidate fundraising only through the laws and executive actions it makes likelier (CL-5), never as a separate access row. Price partisan-coding risk as a signed exposure row (CL-40) on the "AI risk concern becomes bipartisan" entry, scaling it up only for the tranche that buys electoral or independent-expenditure capacity. Put integrity and trust-norm harm in a CL-11 branch. Where the applicant offers a restricted "no elections" account, price that option and report it to the grantmaker. </w:t>
      </w:r>
      <w:r>
        <w:rPr>
          <w:rStyle w:val="Strong"/>
        </w:rPr>
        <w:t>Why:</w:t>
      </w:r>
      <w:r>
        <w:rPr/>
        <w:t xml:space="preserve"> Access double-counts with the laws; the integrity question divides evaluators and should not be silently resolved; the restricted account turns a values question into a choice.</w:t>
      </w:r>
    </w:p>
    <w:p>
      <w:pPr>
        <w:pStyle w:val="Heading3"/>
        <w:bidi w:val="0"/>
        <w:ind w:hanging="0" w:left="0" w:right="0"/>
        <w:rPr/>
      </w:pPr>
      <w:r>
        <w:rPr/>
        <w:t>CL-48: c4 vs. c3 dollars [Proposed 2026-10-18, by Claude]</w:t>
      </w:r>
    </w:p>
    <w:p>
      <w:pPr>
        <w:pStyle w:val="BodyText"/>
        <w:bidi w:val="0"/>
        <w:ind w:hanging="0" w:left="0" w:right="0"/>
        <w:rPr/>
      </w:pPr>
      <w:r>
        <w:rPr>
          <w:rStyle w:val="Strong"/>
        </w:rPr>
        <w:t>Rule:</w:t>
      </w:r>
      <w:r>
        <w:rPr/>
        <w:t xml:space="preserve"> Value a restricted-type dollar (c4) by what it buys inside the grantee at that tranche's marginal factor. Do not multiply by the applicant's c3:c4 indifference ratio, and do not raise the CL-4 money price for c4 money: both measure fundraising scarcity, i.e. the replacement value of money, which the grading criterion excludes. </w:t>
      </w:r>
      <w:r>
        <w:rPr>
          <w:rStyle w:val="Strong"/>
        </w:rPr>
        <w:t>Why:</w:t>
      </w:r>
      <w:r>
        <w:rPr/>
        <w:t xml:space="preserve"> Applying a 4:1 or 6:1 ratio would multiply the grant 4–6× on an argument the human user has ruled out and would fail CL-9 against the organisation's average dollar.</w:t>
      </w:r>
    </w:p>
    <w:p>
      <w:pPr>
        <w:pStyle w:val="Heading3"/>
        <w:bidi w:val="0"/>
        <w:ind w:hanging="0" w:left="0" w:right="0"/>
        <w:rPr/>
      </w:pPr>
      <w:r>
        <w:rPr/>
        <w:t>CL-49: Survival of state laws against federal preemption [Proposed 2026-10-18, by Claude]</w:t>
      </w:r>
    </w:p>
    <w:p>
      <w:pPr>
        <w:pStyle w:val="BodyText"/>
        <w:bidi w:val="0"/>
        <w:ind w:hanging="0" w:left="0" w:right="0"/>
        <w:rPr/>
      </w:pPr>
      <w:r>
        <w:rPr>
          <w:rStyle w:val="Strong"/>
        </w:rPr>
        <w:t>Rule:</w:t>
      </w:r>
      <w:r>
        <w:rPr/>
        <w:t xml:space="preserve"> A state-law row's probability is for enactment; multiply by the probability the law is still substantially in force when graded in 2030. Set the loss factor by what the live federal vehicle would displace: ceiling preemption that codifies transparency-level duties costs transparency-type laws little (≈0.3) and stronger rungs (a state regulator, emergency authority) most of their value (≈0.67). Credit the grantee's anti-preemption work in its own row; do not also raise the survival factor for it. </w:t>
      </w:r>
      <w:r>
        <w:rPr>
          <w:rStyle w:val="Strong"/>
        </w:rPr>
        <w:t>Why:</w:t>
      </w:r>
      <w:r>
        <w:rPr/>
        <w:t xml:space="preserve"> Pricing enactment only, or using a flat survival factor, hides that preemption bites hardest on exactly the rows that carry the most value.</w:t>
      </w:r>
    </w:p>
    <w:p>
      <w:pPr>
        <w:pStyle w:val="Heading3"/>
        <w:bidi w:val="0"/>
        <w:ind w:hanging="0" w:left="0" w:right="0"/>
        <w:rPr/>
      </w:pPr>
      <w:r>
        <w:rPr/>
        <w:t>CL-50: One ledger, one budget for a paired c3/c4 organisation [Proposed 2026-10-18, by Claude]</w:t>
      </w:r>
    </w:p>
    <w:p>
      <w:pPr>
        <w:pStyle w:val="BodyText"/>
        <w:bidi w:val="0"/>
        <w:ind w:hanging="0" w:left="0" w:right="0"/>
        <w:rPr/>
      </w:pPr>
      <w:r>
        <w:rPr>
          <w:rStyle w:val="Strong"/>
        </w:rPr>
        <w:t>Rule:</w:t>
      </w:r>
      <w:r>
        <w:rPr/>
        <w:t xml:space="preserve"> When a c3 and a c4 share staff and a program, price one program ledger and divide by the joint program cost for the CL-15 average, with the budget built from a realistic hiring ramp (not the end-state run rate from day one, nor the ask). Treat the grant as buying a tranche of that joint program at the marginal factor for what the restricted dollar can fund. </w:t>
      </w:r>
      <w:r>
        <w:rPr>
          <w:rStyle w:val="Strong"/>
        </w:rPr>
        <w:t>Why:</w:t>
      </w:r>
      <w:r>
        <w:rPr/>
        <w:t xml:space="preserve"> Dividing joint program value by one entity's spend inflates both the average dollar and the grant's share; using the end-state rate deflates them.</w:t>
      </w:r>
    </w:p>
    <w:p>
      <w:pPr>
        <w:pStyle w:val="Heading3"/>
        <w:bidi w:val="0"/>
        <w:ind w:hanging="0" w:left="0" w:right="0"/>
        <w:rPr/>
      </w:pPr>
      <w:r>
        <w:rPr/>
        <w:t>CL-51: Leverage factors for non-US national actors [Proposed 2026-10-17, by Claude]</w:t>
      </w:r>
    </w:p>
    <w:p>
      <w:pPr>
        <w:pStyle w:val="BodyText"/>
        <w:bidi w:val="0"/>
        <w:ind w:hanging="0" w:left="0" w:right="0"/>
        <w:rPr/>
      </w:pPr>
      <w:r>
        <w:rPr>
          <w:rStyle w:val="Strong"/>
        </w:rPr>
        <w:t>Rule:</w:t>
      </w:r>
      <w:r>
        <w:rPr/>
        <w:t xml:space="preserve"> When a US-calibrated weight (a PERCYs M-row, the proposed "member of Congress champion", or a US milestone) is applied to a non-US national actor, multiply by one stated frontier-AI-governance leverage factor. The factor depends on the actor's constitutional role, not only the country:</w:t>
      </w:r>
    </w:p>
    <w:p>
      <w:pPr>
        <w:pStyle w:val="BodyText"/>
        <w:numPr>
          <w:ilvl w:val="0"/>
          <w:numId w:val="5"/>
        </w:numPr>
        <w:tabs>
          <w:tab w:val="clear" w:pos="709"/>
          <w:tab w:val="left" w:pos="709" w:leader="none"/>
        </w:tabs>
        <w:bidi w:val="0"/>
        <w:spacing w:before="0" w:after="0"/>
        <w:ind w:hanging="283" w:left="709" w:right="0"/>
        <w:rPr/>
      </w:pPr>
      <w:r>
        <w:rPr>
          <w:rStyle w:val="Strong"/>
        </w:rPr>
        <w:t>National executive positions:</w:t>
      </w:r>
      <w:r>
        <w:rPr/>
        <w:t xml:space="preserve"> France or Germany ≈0.2–0.3, UK ≈0.25, EU as a bloc ≈0.4–0.5, other G7 ≈0.1–0.15. </w:t>
      </w:r>
    </w:p>
    <w:p>
      <w:pPr>
        <w:pStyle w:val="BodyText"/>
        <w:numPr>
          <w:ilvl w:val="0"/>
          <w:numId w:val="5"/>
        </w:numPr>
        <w:tabs>
          <w:tab w:val="clear" w:pos="709"/>
          <w:tab w:val="left" w:pos="709" w:leader="none"/>
        </w:tabs>
        <w:bidi w:val="0"/>
        <w:ind w:hanging="283" w:left="709"/>
        <w:rPr/>
      </w:pPr>
      <w:r>
        <w:rPr>
          <w:rStyle w:val="Strong"/>
        </w:rPr>
        <w:t>Individual legislators:</w:t>
      </w:r>
      <w:r>
        <w:rPr/>
        <w:t xml:space="preserve"> in presidential or semi-presidential systems where treaty and foreign policy is reserved to the executive, ≈0.10. In parliamentary systems whose legislators shape foreign and EU policy, up to the executive factor. </w:t>
      </w:r>
    </w:p>
    <w:p>
      <w:pPr>
        <w:pStyle w:val="BodyText"/>
        <w:bidi w:val="0"/>
        <w:ind w:hanging="0" w:left="0" w:right="0"/>
        <w:rPr/>
      </w:pPr>
      <w:r>
        <w:rPr/>
        <w:t xml:space="preserve">Apply the factor once. Never apply it again on top of a milestone already priced as a fraction of an international entry, and strip value that flows through separately priced executive rows (CL-5). </w:t>
      </w:r>
      <w:r>
        <w:rPr>
          <w:rStyle w:val="Strong"/>
        </w:rPr>
        <w:t>Why:</w:t>
      </w:r>
      <w:r>
        <w:rPr/>
        <w:t xml:space="preserve"> A single country factor either overprices individual legislators or underprices national executives.</w:t>
      </w:r>
    </w:p>
    <w:p>
      <w:pPr>
        <w:pStyle w:val="Heading3"/>
        <w:bidi w:val="0"/>
        <w:ind w:hanging="0" w:left="0" w:right="0"/>
        <w:rPr/>
      </w:pPr>
      <w:r>
        <w:rPr/>
        <w:t>CL-52: Recruit-on-funding lags, dated windows and part-time roles [Proposed 2026-10-17, by Claude]</w:t>
      </w:r>
    </w:p>
    <w:p>
      <w:pPr>
        <w:pStyle w:val="BodyText"/>
        <w:bidi w:val="0"/>
        <w:ind w:hanging="0" w:left="0" w:right="0"/>
        <w:rPr/>
      </w:pPr>
      <w:r>
        <w:rPr>
          <w:rStyle w:val="Strong"/>
        </w:rPr>
        <w:t>Rule:</w:t>
      </w:r>
    </w:p>
    <w:p>
      <w:pPr>
        <w:pStyle w:val="BodyText"/>
        <w:numPr>
          <w:ilvl w:val="0"/>
          <w:numId w:val="6"/>
        </w:numPr>
        <w:tabs>
          <w:tab w:val="clear" w:pos="709"/>
          <w:tab w:val="left" w:pos="709" w:leader="none"/>
        </w:tabs>
        <w:bidi w:val="0"/>
        <w:spacing w:before="0" w:after="0"/>
        <w:ind w:hanging="283" w:left="709" w:right="0"/>
        <w:rPr/>
      </w:pPr>
      <w:r>
        <w:rPr>
          <w:rStyle w:val="Strong"/>
        </w:rPr>
        <w:t>Lag.</w:t>
      </w:r>
      <w:r>
        <w:rPr/>
        <w:t xml:space="preserve"> If funded activity starts only after recruitment, shift it by the stated lag (default 2–3 months from disbursement). </w:t>
      </w:r>
    </w:p>
    <w:p>
      <w:pPr>
        <w:pStyle w:val="BodyText"/>
        <w:numPr>
          <w:ilvl w:val="0"/>
          <w:numId w:val="6"/>
        </w:numPr>
        <w:tabs>
          <w:tab w:val="clear" w:pos="709"/>
          <w:tab w:val="left" w:pos="709" w:leader="none"/>
        </w:tabs>
        <w:bidi w:val="0"/>
        <w:spacing w:before="0" w:after="0"/>
        <w:ind w:hanging="283" w:left="709"/>
        <w:rPr/>
      </w:pPr>
      <w:r>
        <w:rPr>
          <w:rStyle w:val="Strong"/>
        </w:rPr>
        <w:t>Dated windows.</w:t>
      </w:r>
      <w:r>
        <w:rPr/>
        <w:t xml:space="preserve"> Price rows tied to a dated window (an election, a summit) on the post-lag share of the critical-path work in that window, not the calendar share (CL-46). Don't give extra window credit to money above the ask that arrives after the window. </w:t>
      </w:r>
    </w:p>
    <w:p>
      <w:pPr>
        <w:pStyle w:val="BodyText"/>
        <w:numPr>
          <w:ilvl w:val="0"/>
          <w:numId w:val="6"/>
        </w:numPr>
        <w:tabs>
          <w:tab w:val="clear" w:pos="709"/>
          <w:tab w:val="left" w:pos="709" w:leader="none"/>
        </w:tabs>
        <w:bidi w:val="0"/>
        <w:ind w:hanging="283" w:left="709"/>
        <w:rPr/>
      </w:pPr>
      <w:r>
        <w:rPr>
          <w:rStyle w:val="Strong"/>
        </w:rPr>
        <w:t>Part-time roles.</w:t>
      </w:r>
      <w:r>
        <w:rPr/>
        <w:t xml:space="preserve"> Value a 0.5-FTE relationship role at ≈0.5 of the full-time increment if it spans a dated window, ≈0.4 otherwise. </w:t>
      </w:r>
    </w:p>
    <w:p>
      <w:pPr>
        <w:pStyle w:val="BodyText"/>
        <w:bidi w:val="0"/>
        <w:ind w:hanging="0" w:left="0" w:right="0"/>
        <w:rPr/>
      </w:pPr>
      <w:r>
        <w:rPr>
          <w:rStyle w:val="Strong"/>
        </w:rPr>
        <w:t>Why:</w:t>
      </w:r>
      <w:r>
        <w:rPr/>
        <w:t xml:space="preserve"> Without a rule, estimators invent their own treatment, and rows tied to dated windows can differ by a large factor.</w:t>
      </w:r>
    </w:p>
    <w:p>
      <w:pPr>
        <w:pStyle w:val="Heading3"/>
        <w:bidi w:val="0"/>
        <w:ind w:hanging="0" w:left="0" w:right="0"/>
        <w:rPr/>
      </w:pPr>
      <w:r>
        <w:rPr/>
        <w:t>CL-53: Applicant minimum-size statements with pending money [Proposed 2026-10-17, by Claude]</w:t>
      </w:r>
    </w:p>
    <w:p>
      <w:pPr>
        <w:pStyle w:val="BodyText"/>
        <w:bidi w:val="0"/>
        <w:ind w:hanging="0" w:left="0" w:right="0"/>
        <w:rPr/>
      </w:pPr>
      <w:r>
        <w:rPr>
          <w:rStyle w:val="Strong"/>
        </w:rPr>
        <w:t>Rule:</w:t>
      </w:r>
      <w:r>
        <w:rPr/>
        <w:t xml:space="preserve"> When an applicant says it will not run a project below a minimum, the no-grant world runs it if, and only if, independent pending money (at its CL-14 probability) reaches that minimum. In that state, the grant's increment is the top-up, valued with any named full-time threshold premium. Leftover money extends the activity at the post-window value, with CL-38 logic.</w:t>
      </w:r>
    </w:p>
    <w:p>
      <w:pPr>
        <w:pStyle w:val="Heading3"/>
        <w:bidi w:val="0"/>
        <w:ind w:hanging="0" w:left="0" w:right="0"/>
        <w:rPr/>
      </w:pPr>
      <w:r>
        <w:rPr/>
        <w:t>CL-54: Volunteer labour in CL-15 and CL-37 comparators [Proposed 2026-10-17, by Claude]</w:t>
      </w:r>
    </w:p>
    <w:p>
      <w:pPr>
        <w:pStyle w:val="BodyText"/>
        <w:bidi w:val="0"/>
        <w:ind w:hanging="0" w:left="0" w:right="0"/>
        <w:rPr/>
      </w:pPr>
      <w:r>
        <w:rPr>
          <w:rStyle w:val="Strong"/>
        </w:rPr>
        <w:t>Rule:</w:t>
      </w:r>
      <w:r>
        <w:rPr/>
        <w:t xml:space="preserve"> For an organisation whose labour is mostly unpaid, report the average dollar on cash and on cash plus imputed volunteer labour (≈1/3 of a loaded junior salary per volunteer FTE). When a grant converts volunteer work into paid work, the CL-37 comparator is a blend of the two, with this weight on the labour-inclusive basis:</w:t>
      </w:r>
    </w:p>
    <w:p>
      <w:pPr>
        <w:pStyle w:val="BodyText"/>
        <w:numPr>
          <w:ilvl w:val="0"/>
          <w:numId w:val="7"/>
        </w:numPr>
        <w:tabs>
          <w:tab w:val="clear" w:pos="709"/>
          <w:tab w:val="left" w:pos="709" w:leader="none"/>
        </w:tabs>
        <w:bidi w:val="0"/>
        <w:spacing w:before="0" w:after="0"/>
        <w:ind w:hanging="283" w:left="709" w:right="0"/>
        <w:rPr/>
      </w:pPr>
      <w:r>
        <w:rPr/>
        <w:t>≈</w:t>
      </w:r>
      <w:r>
        <w:rPr/>
        <w:t xml:space="preserve">0.2 if the paid role partly does work volunteers cannot (credentialed, sustained access); </w:t>
      </w:r>
    </w:p>
    <w:p>
      <w:pPr>
        <w:pStyle w:val="BodyText"/>
        <w:numPr>
          <w:ilvl w:val="0"/>
          <w:numId w:val="7"/>
        </w:numPr>
        <w:tabs>
          <w:tab w:val="clear" w:pos="709"/>
          <w:tab w:val="left" w:pos="709" w:leader="none"/>
        </w:tabs>
        <w:bidi w:val="0"/>
        <w:spacing w:before="0" w:after="0"/>
        <w:ind w:hanging="283" w:left="709"/>
        <w:rPr/>
      </w:pPr>
      <w:r>
        <w:rPr/>
        <w:t>≈</w:t>
      </w:r>
      <w:r>
        <w:rPr/>
        <w:t xml:space="preserve">0.5 if it mostly substitutes for volunteers; </w:t>
      </w:r>
    </w:p>
    <w:p>
      <w:pPr>
        <w:pStyle w:val="BodyText"/>
        <w:numPr>
          <w:ilvl w:val="0"/>
          <w:numId w:val="7"/>
        </w:numPr>
        <w:tabs>
          <w:tab w:val="clear" w:pos="709"/>
          <w:tab w:val="left" w:pos="709" w:leader="none"/>
        </w:tabs>
        <w:bidi w:val="0"/>
        <w:ind w:hanging="283" w:left="709"/>
        <w:rPr/>
      </w:pPr>
      <w:r>
        <w:rPr/>
        <w:t xml:space="preserve">0 if it is a wholly different function. </w:t>
      </w:r>
    </w:p>
    <w:p>
      <w:pPr>
        <w:pStyle w:val="BodyText"/>
        <w:bidi w:val="0"/>
        <w:ind w:hanging="0" w:left="0" w:right="0"/>
        <w:rPr/>
      </w:pPr>
      <w:r>
        <w:rPr>
          <w:rStyle w:val="Strong"/>
        </w:rPr>
        <w:t>Why:</w:t>
      </w:r>
      <w:r>
        <w:rPr/>
        <w:t xml:space="preserve"> A cash-only average is flattered by free labour; a labour-only average ignores what pay buys.</w:t>
      </w:r>
    </w:p>
    <w:p>
      <w:pPr>
        <w:pStyle w:val="Heading3"/>
        <w:bidi w:val="0"/>
        <w:ind w:hanging="0" w:left="0" w:right="0"/>
        <w:rPr/>
      </w:pPr>
      <w:r>
        <w:rPr/>
        <w:t>CL-55: Amendment to CL-16, pivotal vs diffuse credit for traceable rows [Proposed 2026-10-17, by Claude]</w:t>
      </w:r>
    </w:p>
    <w:p>
      <w:pPr>
        <w:pStyle w:val="BodyText"/>
        <w:bidi w:val="0"/>
        <w:ind w:hanging="0" w:left="0" w:right="0"/>
        <w:rPr/>
      </w:pPr>
      <w:r>
        <w:rPr>
          <w:rStyle w:val="Strong"/>
        </w:rPr>
        <w:t>Rule:</w:t>
      </w:r>
      <w:r>
        <w:rPr/>
        <w:t xml:space="preserve"> When a 2030 evaluator can plausibly see whether the grant was on the causal path (a named legislator the hire briefed; a campaign team it met; a report it fed), simulate pivotal worlds (large credit, rare) and diffuse worlds (small credit when the outcome occurs anyway) separately, with the pivotal share stated per row. For untraceable rows (a government position, an EU vote), keep CL-16's w × (1 − P0/P1) in every world where the outcome occurs. The means are unchanged either way. </w:t>
      </w:r>
      <w:r>
        <w:rPr>
          <w:rStyle w:val="Strong"/>
        </w:rPr>
        <w:t>Why:</w:t>
      </w:r>
      <w:r>
        <w:rPr/>
        <w:t xml:space="preserve"> Literal CL-16 on frequently firing traceable rows inflates the median and upper quartiles.</w:t>
      </w:r>
    </w:p>
    <w:p>
      <w:pPr>
        <w:pStyle w:val="Heading3"/>
        <w:bidi w:val="0"/>
        <w:ind w:hanging="0" w:left="0" w:right="0"/>
        <w:rPr/>
      </w:pPr>
      <w:r>
        <w:rPr/>
        <w:t>CL-56: CL-37 comparator anchored on the track record; CL-15 vs CL-37 [Proposed 2026-10-17, by Claude]</w:t>
      </w:r>
    </w:p>
    <w:p>
      <w:pPr>
        <w:pStyle w:val="BodyText"/>
        <w:bidi w:val="0"/>
        <w:ind w:hanging="0" w:left="0" w:right="0"/>
        <w:rPr/>
      </w:pPr>
      <w:r>
        <w:rPr>
          <w:rStyle w:val="Strong"/>
        </w:rPr>
        <w:t>Rule:</w:t>
      </w:r>
    </w:p>
    <w:p>
      <w:pPr>
        <w:pStyle w:val="BodyText"/>
        <w:numPr>
          <w:ilvl w:val="0"/>
          <w:numId w:val="8"/>
        </w:numPr>
        <w:tabs>
          <w:tab w:val="clear" w:pos="709"/>
          <w:tab w:val="left" w:pos="709" w:leader="none"/>
        </w:tabs>
        <w:bidi w:val="0"/>
        <w:spacing w:before="0" w:after="0"/>
        <w:ind w:hanging="283" w:left="709" w:right="0"/>
        <w:rPr/>
      </w:pPr>
      <w:r>
        <w:rPr/>
        <w:t xml:space="preserve">The org value V used for the CL-37 non-founder average must be checked against the organisation's track record (CL-9). A forward per-dollar value more than ~1.5× the track-record figure needs a stated, specific reason (a new paid function, a dated window). Even then, put the cap at the top of the range, not above it. </w:t>
      </w:r>
    </w:p>
    <w:p>
      <w:pPr>
        <w:pStyle w:val="BodyText"/>
        <w:numPr>
          <w:ilvl w:val="0"/>
          <w:numId w:val="8"/>
        </w:numPr>
        <w:tabs>
          <w:tab w:val="clear" w:pos="709"/>
          <w:tab w:val="left" w:pos="709" w:leader="none"/>
        </w:tabs>
        <w:bidi w:val="0"/>
        <w:ind w:hanging="283" w:left="709"/>
        <w:rPr/>
      </w:pPr>
      <w:r>
        <w:rPr/>
        <w:t xml:space="preserve">CL-15's "strongest line" exception (Adopted) can lift a new hire above the CL-37 bound only for a checkable reason specific to the hire: an identified candidate with a record in that line, or an existing line the grant scales. Absent that, there is no conflict to resolve and the CL-37 bound applies. </w:t>
      </w:r>
    </w:p>
    <w:p>
      <w:pPr>
        <w:pStyle w:val="BodyText"/>
        <w:bidi w:val="0"/>
        <w:ind w:hanging="0" w:left="0" w:right="0"/>
        <w:rPr/>
      </w:pPr>
      <w:r>
        <w:rPr>
          <w:rStyle w:val="Strong"/>
        </w:rPr>
        <w:t>Why:</w:t>
      </w:r>
      <w:r>
        <w:rPr/>
        <w:t xml:space="preserve"> Otherwise estimators can agree on a mean only by pairing a cap built on an org ledger far above its track record with offsetting row choices.</w:t>
      </w:r>
    </w:p>
    <w:p>
      <w:pPr>
        <w:pStyle w:val="Heading3"/>
        <w:bidi w:val="0"/>
        <w:ind w:hanging="0" w:left="0" w:right="0"/>
        <w:rPr/>
      </w:pPr>
      <w:r>
        <w:rPr/>
        <w:t>CL-57: Charges excluded from the CL-15 comparison [Proposed 2026-10-17, by Claude; marked optional]</w:t>
      </w:r>
    </w:p>
    <w:p>
      <w:pPr>
        <w:pStyle w:val="BodyText"/>
        <w:bidi w:val="0"/>
        <w:ind w:hanging="0" w:left="0" w:right="0"/>
        <w:rPr/>
      </w:pPr>
      <w:r>
        <w:rPr>
          <w:rStyle w:val="Strong"/>
        </w:rPr>
        <w:t>Rule:</w:t>
      </w:r>
      <w:r>
        <w:rPr/>
        <w:t xml:space="preserve"> When comparing the grant with the org's average dollar, report the grant figure both with and without funder-specific rows (a CL-32 story that reaches the funder) and hire-specific CL-36 rows, which have no org-level analogue. The gap to the org average should be explained after removing them.</w:t>
      </w:r>
    </w:p>
    <w:p>
      <w:pPr>
        <w:pStyle w:val="Heading3"/>
        <w:bidi w:val="0"/>
        <w:ind w:hanging="0" w:left="0" w:right="0"/>
        <w:rPr/>
      </w:pPr>
      <w:r>
        <w:rPr/>
        <w:t>CL-58: [Struck by the human user 2026-10-18] Evaluator recommendations in a bill-splitting round</w:t>
      </w:r>
    </w:p>
    <w:p>
      <w:pPr>
        <w:pStyle w:val="BodyText"/>
        <w:bidi w:val="0"/>
        <w:ind w:hanging="0" w:left="0" w:right="0"/>
        <w:rPr/>
      </w:pPr>
      <w:r>
        <w:rPr>
          <w:rStyle w:val="Emphasis"/>
        </w:rPr>
        <w:t>Do not apply. This ruling made the headline one evaluator's recommendation stacked on the other evaluators' money in the same round, which Adopted CL-62 rejects. The number is kept so it is not reused.</w:t>
      </w:r>
    </w:p>
    <w:p>
      <w:pPr>
        <w:pStyle w:val="Heading3"/>
        <w:bidi w:val="0"/>
        <w:ind w:hanging="0" w:left="0" w:right="0"/>
        <w:rPr/>
      </w:pPr>
      <w:r>
        <w:rPr/>
        <w:t>CL-59: A later round of the same funder when the organisation survives without the grant [Proposed 2026-10-17, by Claude]</w:t>
      </w:r>
    </w:p>
    <w:p>
      <w:pPr>
        <w:pStyle w:val="BodyText"/>
        <w:bidi w:val="0"/>
        <w:ind w:hanging="0" w:left="0" w:right="0"/>
        <w:rPr/>
      </w:pPr>
      <w:r>
        <w:rPr>
          <w:rStyle w:val="Emphasis"/>
        </w:rPr>
        <w:t>(Superseded 2026-10-18 by Adopted CL-62: later rounds of the same platform are left out of both worlds when the organisation survives without the grant. Since the scored grant is always the platform's money, do not apply this ruling; later rounds of funders outside the platform are pending money under CL-14/CL-34.)</w:t>
      </w:r>
      <w:r>
        <w:rPr/>
        <w:t xml:space="preserve"> </w:t>
      </w:r>
      <w:r>
        <w:rPr>
          <w:rStyle w:val="Strong"/>
        </w:rPr>
        <w:t>Rule:</w:t>
      </w:r>
      <w:r>
        <w:rPr/>
        <w:t xml:space="preserve"> If the no-grant organisation operates at or above about half its plan, model a later round of the same funder in both worlds (CL-14/CL-34 logic): the award shrinks as the grant fills the gap, and displaced dollars are credited at the money price. CL-8's rescue clause and CL-31's parenthetical apply only below that threshold. A reading defined as "this funder's money vs none" excludes the later round from both worlds. </w:t>
      </w:r>
      <w:r>
        <w:rPr>
          <w:rStyle w:val="Strong"/>
        </w:rPr>
        <w:t>Why:</w:t>
      </w:r>
      <w:r>
        <w:rPr/>
        <w:t xml:space="preserve"> Adopted CL-8 forbids modelling an organisation that can never raise money again, and CL-31 is scoped to programs that die; asymmetric treatment inflates the marginal factor in low-funding draws.</w:t>
      </w:r>
    </w:p>
    <w:p>
      <w:pPr>
        <w:pStyle w:val="Heading3"/>
        <w:bidi w:val="0"/>
        <w:ind w:hanging="0" w:left="0" w:right="0"/>
        <w:rPr/>
      </w:pPr>
      <w:r>
        <w:rPr/>
        <w:t>CL-60: CL-36 charges against an execution factor that contains a collapse state [Proposed 2026-10-17, by Claude; second clause amended by the human user 2026-10-18]</w:t>
      </w:r>
    </w:p>
    <w:p>
      <w:pPr>
        <w:pStyle w:val="BodyText"/>
        <w:bidi w:val="0"/>
        <w:ind w:hanging="0" w:left="0" w:right="0"/>
        <w:rPr/>
      </w:pPr>
      <w:r>
        <w:rPr>
          <w:rStyle w:val="Strong"/>
        </w:rPr>
        <w:t>Rule:</w:t>
      </w:r>
      <w:r>
        <w:rPr/>
        <w:t xml:space="preserve"> When the correlated execution factor includes a collapse or bus-factor state, set the CL-36 breakdown charge to zero in those worlds and set its level consistently with that state's probability. When money from outside the platform already pays the identified candidates' salaries in the no-grant world (CL-8, CL-43), CL-36's "beyond the first one or two already-identified candidates" offset is zero for grant-funded hires. Other evaluators' same-round allocations on the platform are not such money (CL-62), so candidates only they would have paid count as grant-funded and keep the offset. </w:t>
      </w:r>
      <w:r>
        <w:rPr>
          <w:rStyle w:val="Strong"/>
        </w:rPr>
        <w:t>Why:</w:t>
      </w:r>
      <w:r>
        <w:rPr/>
        <w:t xml:space="preserve"> A breakdown inside a world already scored as a collapse is the same event priced twice; identified candidates are not grant-funded when other money already pays them.</w:t>
      </w:r>
    </w:p>
    <w:p>
      <w:pPr>
        <w:pStyle w:val="Heading3"/>
        <w:bidi w:val="0"/>
        <w:ind w:hanging="0" w:left="0" w:right="0"/>
        <w:rPr/>
      </w:pPr>
      <w:r>
        <w:rPr/>
        <w:t>CL-61: Exposure rows for founder-gated sensitive work [Proposed 2026-10-17, by Claude]</w:t>
      </w:r>
    </w:p>
    <w:p>
      <w:pPr>
        <w:pStyle w:val="BodyText"/>
        <w:bidi w:val="0"/>
        <w:ind w:hanging="0" w:left="0" w:right="0"/>
        <w:rPr/>
      </w:pPr>
      <w:r>
        <w:rPr>
          <w:rStyle w:val="Strong"/>
        </w:rPr>
        <w:t>Rule:</w:t>
      </w:r>
      <w:r>
        <w:rPr/>
        <w:t xml:space="preserve"> Under CL-40's "or of campaigns" clause, when the applicant states that sensitive projects are a minority of its work and are bottlenecked on the founder, scale incident and exposure rows with activity^0.7 rather than linearly. Report the linear version as a sensitivity. </w:t>
      </w:r>
      <w:r>
        <w:rPr>
          <w:rStyle w:val="Strong"/>
        </w:rPr>
        <w:t>Why:</w:t>
      </w:r>
      <w:r>
        <w:rPr/>
        <w:t xml:space="preserve"> Marginal hires at a founder-gated organisation add comms and recruiting capacity, not proportionally more sensitive projects; linear scaling charges every marginal dollar at the founder's incident rate.</w:t>
      </w:r>
    </w:p>
    <w:p>
      <w:pPr>
        <w:pStyle w:val="Normal"/>
        <w:bidi w:val="0"/>
        <w:jc w:val="left"/>
        <w:rPr/>
      </w:pPr>
      <w:r>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Mono">
    <w:altName w:val="Courier New"/>
    <w:charset w:val="00"/>
    <w:family w:val="modern"/>
    <w:pitch w:val="fixed"/>
  </w:font>
  <w:font w:name="OpenSymbol">
    <w:altName w:val="Arial Unicode MS"/>
    <w:charset w:val="02"/>
    <w:family w:val="auto"/>
    <w:pitch w:val="default"/>
  </w:font>
  <w:font w:name="Liberation Sans">
    <w:altName w:val="Arial"/>
    <w:charset w:val="00"/>
    <w:family w:val="swiss"/>
    <w:pitch w:val="variable"/>
  </w:font>
  <w:font w:name="var font-mono">
    <w:charset w:val="00"/>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numPr>
        <w:ilvl w:val="0"/>
        <w:numId w:val="0"/>
      </w:num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numPr>
        <w:ilvl w:val="0"/>
        <w:numId w:val="0"/>
      </w:numPr>
      <w:spacing w:before="200" w:after="120"/>
      <w:outlineLvl w:val="1"/>
    </w:pPr>
    <w:rPr>
      <w:rFonts w:ascii="Liberation Serif" w:hAnsi="Liberation Serif" w:eastAsia="NSimSun" w:cs="Arial"/>
      <w:b/>
      <w:bCs/>
      <w:sz w:val="36"/>
      <w:szCs w:val="36"/>
    </w:rPr>
  </w:style>
  <w:style w:type="paragraph" w:styleId="Heading3">
    <w:name w:val="heading 3"/>
    <w:basedOn w:val="Heading"/>
    <w:next w:val="BodyText"/>
    <w:qFormat/>
    <w:pPr>
      <w:numPr>
        <w:ilvl w:val="0"/>
        <w:numId w:val="0"/>
      </w:numPr>
      <w:spacing w:before="140" w:after="120"/>
      <w:outlineLvl w:val="2"/>
    </w:pPr>
    <w:rPr>
      <w:rFonts w:ascii="Liberation Serif" w:hAnsi="Liberation Serif" w:eastAsia="NSimSun" w:cs="Arial"/>
      <w:b/>
      <w:bCs/>
      <w:sz w:val="28"/>
      <w:szCs w:val="28"/>
    </w:rPr>
  </w:style>
  <w:style w:type="character" w:styleId="Strong">
    <w:name w:val="Strong"/>
    <w:qFormat/>
    <w:rPr>
      <w:b/>
      <w:bCs/>
    </w:rPr>
  </w:style>
  <w:style w:type="character" w:styleId="NumberingSymbols">
    <w:name w:val="Numbering Symbols"/>
    <w:qFormat/>
    <w:rPr/>
  </w:style>
  <w:style w:type="character" w:styleId="Emphasis">
    <w:name w:val="Emphasis"/>
    <w:qFormat/>
    <w:rPr>
      <w:i/>
      <w:iCs/>
    </w:rPr>
  </w:style>
  <w:style w:type="character" w:styleId="SourceText">
    <w:name w:val="Source Text"/>
    <w:qFormat/>
    <w:rPr>
      <w:rFonts w:ascii="Liberation Mono" w:hAnsi="Liberation Mono" w:eastAsia="NSimSun" w:cs="Liberation Mono"/>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17</Pages>
  <Words>7804</Words>
  <Characters>40874</Characters>
  <CharactersWithSpaces>48499</CharactersWithSpaces>
  <Paragraphs>167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2026-10-18T04:11:25Z</dcterms:created>
  <dc:creator/>
  <dc:description/>
  <dc:language>en-US</dc:language>
  <cp:lastModifiedBy/>
  <dcterms:modified xsi:type="dcterms:W3CDTF">2026-10-18T04:11:34Z</dcterms:modified>
  <cp:revision>1</cp:revision>
  <dc:subject/>
  <dc:title/>
</cp:coreProperties>
</file>