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b/>
          <w:bCs/>
          <w:color w:val="1A3764"/>
          <w:sz w:val="36"/>
          <w:szCs w:val="36"/>
        </w:rPr>
        <w:t xml:space="preserve">QUANTITATIVE ECONOMIC ANALYSIS</w:t>
      </w:r>
    </w:p>
    <w:p>
      <w:pPr>
        <w:spacing w:after="100"/>
        <w:jc w:val="center"/>
      </w:pPr>
      <w:r>
        <w:rPr>
          <w:rFonts w:ascii="Arial" w:cs="Arial" w:eastAsia="Arial" w:hAnsi="Arial"/>
          <w:color w:val="2E5090"/>
          <w:sz w:val="30"/>
          <w:szCs w:val="30"/>
        </w:rPr>
        <w:t xml:space="preserve">Austria’s Military Recruitment System:</w:t>
      </w:r>
    </w:p>
    <w:p>
      <w:pPr>
        <w:spacing w:after="400"/>
        <w:jc w:val="center"/>
      </w:pPr>
      <w:r>
        <w:rPr>
          <w:rFonts w:ascii="Arial" w:cs="Arial" w:eastAsia="Arial" w:hAnsi="Arial"/>
          <w:color w:val="2E5090"/>
          <w:sz w:val="30"/>
          <w:szCs w:val="30"/>
        </w:rPr>
        <w:t xml:space="preserve">Comparing Conscription and All-Volunteer Force Designs</w:t>
      </w:r>
    </w:p>
    <w:p>
      <w:pPr>
        <w:pBdr>
          <w:top w:val="single" w:color="2E5090" w:sz="6" w:space="1"/>
        </w:pBdr>
        <w:spacing w:after="100"/>
        <w:jc w:val="center"/>
      </w:pPr>
    </w:p>
    <w:p>
      <w:pPr>
        <w:spacing w:after="80"/>
        <w:jc w:val="center"/>
      </w:pPr>
      <w:r>
        <w:rPr>
          <w:rFonts w:ascii="Arial" w:cs="Arial" w:eastAsia="Arial" w:hAnsi="Arial"/>
          <w:i/>
          <w:iCs/>
          <w:color w:val="555555"/>
          <w:sz w:val="22"/>
          <w:szCs w:val="22"/>
        </w:rPr>
        <w:t xml:space="preserve">A Human Capital &amp; Labour Market Equilibrium Approach</w:t>
      </w:r>
    </w:p>
    <w:p>
      <w:pPr>
        <w:spacing w:after="80"/>
        <w:jc w:val="center"/>
      </w:pPr>
      <w:r>
        <w:rPr>
          <w:rFonts w:ascii="Arial" w:cs="Arial" w:eastAsia="Arial" w:hAnsi="Arial"/>
          <w:i/>
          <w:iCs/>
          <w:color w:val="555555"/>
          <w:sz w:val="22"/>
          <w:szCs w:val="22"/>
        </w:rPr>
        <w:t xml:space="preserve">With Sensitivity Analysis and Distributional Assessment</w:t>
      </w:r>
    </w:p>
    <w:p>
      <w:pPr>
        <w:spacing w:before="600" w:after="80"/>
        <w:jc w:val="center"/>
      </w:pPr>
      <w:r>
        <w:rPr>
          <w:rFonts w:ascii="Arial" w:cs="Arial" w:eastAsia="Arial" w:hAnsi="Arial"/>
          <w:color w:val="666666"/>
          <w:sz w:val="22"/>
          <w:szCs w:val="22"/>
        </w:rPr>
        <w:t xml:space="preserve">February 2026</w:t>
      </w:r>
    </w:p>
    <w:p>
      <w:pPr>
        <w:spacing w:after="80"/>
        <w:jc w:val="center"/>
      </w:pPr>
      <w:r>
        <w:rPr>
          <w:rFonts w:ascii="Arial" w:cs="Arial" w:eastAsia="Arial" w:hAnsi="Arial"/>
          <w:color w:val="666666"/>
          <w:sz w:val="20"/>
          <w:szCs w:val="20"/>
        </w:rPr>
        <w:t xml:space="preserve">Analytical Working Paper</w:t>
      </w:r>
    </w:p>
    <w:p>
      <w:r>
        <w:br w:type="page"/>
      </w:r>
    </w:p>
    <w:p>
      <w:pPr>
        <w:pStyle w:val="Heading1"/>
        <w:spacing w:before="360" w:after="200"/>
      </w:pPr>
      <w:r>
        <w:rPr>
          <w:rFonts w:ascii="Arial" w:cs="Arial" w:eastAsia="Arial" w:hAnsi="Arial"/>
          <w:b/>
          <w:bCs/>
          <w:color w:val="1A3764"/>
          <w:sz w:val="32"/>
          <w:szCs w:val="32"/>
        </w:rPr>
        <w:t xml:space="preserve">Table of Contents</w:t>
      </w:r>
    </w:p>
    <w:p>
      <w:pPr>
        <w:spacing w:after="160"/>
        <w:jc w:val="both"/>
      </w:pPr>
      <w:r>
        <w:rPr>
          <w:rFonts w:ascii="Arial" w:cs="Arial" w:eastAsia="Arial" w:hAnsi="Arial"/>
          <w:b w:val="false"/>
          <w:bCs w:val="false"/>
          <w:i w:val="false"/>
          <w:iCs w:val="false"/>
          <w:sz w:val="20"/>
          <w:szCs w:val="20"/>
        </w:rPr>
        <w:t xml:space="preserve">1. Executive Summary ........................................................................ 3</w:t>
      </w:r>
    </w:p>
    <w:p>
      <w:pPr>
        <w:spacing w:after="160"/>
        <w:jc w:val="both"/>
      </w:pPr>
      <w:r>
        <w:rPr>
          <w:rFonts w:ascii="Arial" w:cs="Arial" w:eastAsia="Arial" w:hAnsi="Arial"/>
          <w:b w:val="false"/>
          <w:bCs w:val="false"/>
          <w:i w:val="false"/>
          <w:iCs w:val="false"/>
          <w:sz w:val="20"/>
          <w:szCs w:val="20"/>
        </w:rPr>
        <w:t xml:space="preserve">2. Conceptual Framework .................................................................... 4</w:t>
      </w:r>
    </w:p>
    <w:p>
      <w:pPr>
        <w:spacing w:after="160"/>
        <w:jc w:val="both"/>
      </w:pPr>
      <w:r>
        <w:rPr>
          <w:rFonts w:ascii="Arial" w:cs="Arial" w:eastAsia="Arial" w:hAnsi="Arial"/>
          <w:b w:val="false"/>
          <w:bCs w:val="false"/>
          <w:i w:val="false"/>
          <w:iCs w:val="false"/>
          <w:sz w:val="20"/>
          <w:szCs w:val="20"/>
        </w:rPr>
        <w:t xml:space="preserve">3. Mathematical Model ...................................................................... 6</w:t>
      </w:r>
    </w:p>
    <w:p>
      <w:pPr>
        <w:spacing w:after="160"/>
        <w:jc w:val="both"/>
      </w:pPr>
      <w:r>
        <w:rPr>
          <w:rFonts w:ascii="Arial" w:cs="Arial" w:eastAsia="Arial" w:hAnsi="Arial"/>
          <w:b w:val="false"/>
          <w:bCs w:val="false"/>
          <w:i w:val="false"/>
          <w:iCs w:val="false"/>
          <w:sz w:val="20"/>
          <w:szCs w:val="20"/>
        </w:rPr>
        <w:t xml:space="preserve">4. Data Inputs and Assumptions ........................................................... 8</w:t>
      </w:r>
    </w:p>
    <w:p>
      <w:pPr>
        <w:spacing w:after="160"/>
        <w:jc w:val="both"/>
      </w:pPr>
      <w:r>
        <w:rPr>
          <w:rFonts w:ascii="Arial" w:cs="Arial" w:eastAsia="Arial" w:hAnsi="Arial"/>
          <w:b w:val="false"/>
          <w:bCs w:val="false"/>
          <w:i w:val="false"/>
          <w:iCs w:val="false"/>
          <w:sz w:val="20"/>
          <w:szCs w:val="20"/>
        </w:rPr>
        <w:t xml:space="preserve">5. Step-by-Step Calculations .............................................................. 11</w:t>
      </w:r>
    </w:p>
    <w:p>
      <w:pPr>
        <w:spacing w:after="160"/>
        <w:jc w:val="both"/>
      </w:pPr>
      <w:r>
        <w:rPr>
          <w:rFonts w:ascii="Arial" w:cs="Arial" w:eastAsia="Arial" w:hAnsi="Arial"/>
          <w:b w:val="false"/>
          <w:bCs w:val="false"/>
          <w:i w:val="false"/>
          <w:iCs w:val="false"/>
          <w:sz w:val="20"/>
          <w:szCs w:val="20"/>
        </w:rPr>
        <w:t xml:space="preserve">6. Numerical Estimates for Each Variant ................................................ 15</w:t>
      </w:r>
    </w:p>
    <w:p>
      <w:pPr>
        <w:spacing w:after="160"/>
        <w:jc w:val="both"/>
      </w:pPr>
      <w:r>
        <w:rPr>
          <w:rFonts w:ascii="Arial" w:cs="Arial" w:eastAsia="Arial" w:hAnsi="Arial"/>
          <w:b w:val="false"/>
          <w:bCs w:val="false"/>
          <w:i w:val="false"/>
          <w:iCs w:val="false"/>
          <w:sz w:val="20"/>
          <w:szCs w:val="20"/>
        </w:rPr>
        <w:t xml:space="preserve">7. Sensitivity Analysis ....................................................................... 18</w:t>
      </w:r>
    </w:p>
    <w:p>
      <w:pPr>
        <w:spacing w:after="160"/>
        <w:jc w:val="both"/>
      </w:pPr>
      <w:r>
        <w:rPr>
          <w:rFonts w:ascii="Arial" w:cs="Arial" w:eastAsia="Arial" w:hAnsi="Arial"/>
          <w:b w:val="false"/>
          <w:bCs w:val="false"/>
          <w:i w:val="false"/>
          <w:iCs w:val="false"/>
          <w:sz w:val="20"/>
          <w:szCs w:val="20"/>
        </w:rPr>
        <w:t xml:space="preserve">8. Distributional Analysis ................................................................... 20</w:t>
      </w:r>
    </w:p>
    <w:p>
      <w:pPr>
        <w:spacing w:after="160"/>
        <w:jc w:val="both"/>
      </w:pPr>
      <w:r>
        <w:rPr>
          <w:rFonts w:ascii="Arial" w:cs="Arial" w:eastAsia="Arial" w:hAnsi="Arial"/>
          <w:b w:val="false"/>
          <w:bCs w:val="false"/>
          <w:i w:val="false"/>
          <w:iCs w:val="false"/>
          <w:sz w:val="20"/>
          <w:szCs w:val="20"/>
        </w:rPr>
        <w:t xml:space="preserve">9. Comparative Summary ................................................................... 22</w:t>
      </w:r>
    </w:p>
    <w:p>
      <w:pPr>
        <w:spacing w:after="160"/>
        <w:jc w:val="both"/>
      </w:pPr>
      <w:r>
        <w:rPr>
          <w:rFonts w:ascii="Arial" w:cs="Arial" w:eastAsia="Arial" w:hAnsi="Arial"/>
          <w:b w:val="false"/>
          <w:bCs w:val="false"/>
          <w:i w:val="false"/>
          <w:iCs w:val="false"/>
          <w:sz w:val="20"/>
          <w:szCs w:val="20"/>
        </w:rPr>
        <w:t xml:space="preserve">10. Policy Interpretation and Recommendations ...................................... 24</w:t>
      </w:r>
    </w:p>
    <w:p>
      <w:pPr>
        <w:spacing w:after="160"/>
        <w:jc w:val="both"/>
      </w:pPr>
      <w:r>
        <w:rPr>
          <w:rFonts w:ascii="Arial" w:cs="Arial" w:eastAsia="Arial" w:hAnsi="Arial"/>
          <w:b w:val="false"/>
          <w:bCs w:val="false"/>
          <w:i w:val="false"/>
          <w:iCs w:val="false"/>
          <w:sz w:val="20"/>
          <w:szCs w:val="20"/>
        </w:rPr>
        <w:t xml:space="preserve">Appendix A: Parameter Sources .......................................................... 26</w:t>
      </w:r>
    </w:p>
    <w:p>
      <w:r>
        <w:br w:type="page"/>
      </w:r>
    </w:p>
    <w:p>
      <w:pPr>
        <w:pStyle w:val="Heading1"/>
        <w:spacing w:before="360" w:after="200"/>
      </w:pPr>
      <w:r>
        <w:rPr>
          <w:rFonts w:ascii="Arial" w:cs="Arial" w:eastAsia="Arial" w:hAnsi="Arial"/>
          <w:b/>
          <w:bCs/>
          <w:color w:val="1A3764"/>
          <w:sz w:val="32"/>
          <w:szCs w:val="32"/>
        </w:rPr>
        <w:t xml:space="preserve">1. Executive Summary</w:t>
      </w:r>
    </w:p>
    <w:p>
      <w:pPr>
        <w:spacing w:after="160"/>
        <w:jc w:val="both"/>
      </w:pPr>
      <w:r>
        <w:rPr>
          <w:rFonts w:ascii="Arial" w:cs="Arial" w:eastAsia="Arial" w:hAnsi="Arial"/>
          <w:b w:val="false"/>
          <w:bCs w:val="false"/>
          <w:i w:val="false"/>
          <w:iCs w:val="false"/>
          <w:sz w:val="20"/>
          <w:szCs w:val="20"/>
        </w:rPr>
        <w:t xml:space="preserve">This paper presents a quantitative cost-benefit analysis of six alternative military recruitment designs for the Republic of Austria, using a human capital framework anchored to Austrian demographic and labour market data as of 2024. Austria’s current system of six-month universal male conscription (the Grundwehrdienst) has persisted since a decisive 2013 referendum, but rising defence commitments under the Bundesheer 2032+ plan and declining birth cohorts raise the question of whether alternative institutional designs could achieve equivalent military capability at lower social cost.</w:t>
      </w:r>
    </w:p>
    <w:p>
      <w:pPr>
        <w:spacing w:after="160"/>
        <w:jc w:val="both"/>
      </w:pPr>
      <w:r>
        <w:rPr>
          <w:rFonts w:ascii="Arial" w:cs="Arial" w:eastAsia="Arial" w:hAnsi="Arial"/>
          <w:b w:val="false"/>
          <w:bCs w:val="false"/>
          <w:i w:val="false"/>
          <w:iCs w:val="false"/>
          <w:sz w:val="20"/>
          <w:szCs w:val="20"/>
        </w:rPr>
        <w:t xml:space="preserve">We evaluate six variants: (1) the current conscription model, (2) an extended 9-month conscription, (3) conscription with substantially higher pay, (4) a baseline market-wage all-volunteer force (AVF), (5) a high-incentive AVF with bonuses and education benefits, and (6) a hybrid reserve-heavy AVF. For each, we estimate total social cost—defined as the sum of direct fiscal outlays, opportunity costs of foregone civilian wages and education, productivity losses from disrupted human capital accumulation, long-term earnings penalties, and administrative and training overhead.</w:t>
      </w:r>
    </w:p>
    <w:p>
      <w:pPr>
        <w:spacing w:after="160"/>
        <w:jc w:val="both"/>
      </w:pPr>
      <w:r>
        <w:rPr>
          <w:rFonts w:ascii="Arial" w:cs="Arial" w:eastAsia="Arial" w:hAnsi="Arial"/>
          <w:b w:val="false"/>
          <w:bCs w:val="false"/>
          <w:i w:val="false"/>
          <w:iCs w:val="false"/>
          <w:sz w:val="20"/>
          <w:szCs w:val="20"/>
        </w:rPr>
        <w:t xml:space="preserve">Our central finding is that the current conscription model carries the highest total social cost per effective soldier-year, primarily because its opportunity costs are borne disproportionately by young men at the start of their careers, generating large deadweight losses. A market-wage AVF reduces total social cost by approximately 25–35% per effective soldier-year, while a hybrid reserve-heavy model offers the lowest total cost by maintaining a smaller active core supplemented by well-compensated reservists. Extended conscription performs worst due to compounded opportunity costs. The distributional analysis reveals that conscription imposes a regressive implicit tax, falling most heavily on lower-income households and men entering apprenticeships or early employment.</w:t>
      </w:r>
    </w:p>
    <w:p>
      <w:r>
        <w:br w:type="page"/>
      </w:r>
    </w:p>
    <w:p>
      <w:pPr>
        <w:pStyle w:val="Heading1"/>
        <w:spacing w:before="360" w:after="200"/>
      </w:pPr>
      <w:r>
        <w:rPr>
          <w:rFonts w:ascii="Arial" w:cs="Arial" w:eastAsia="Arial" w:hAnsi="Arial"/>
          <w:b/>
          <w:bCs/>
          <w:color w:val="1A3764"/>
          <w:sz w:val="32"/>
          <w:szCs w:val="32"/>
        </w:rPr>
        <w:t xml:space="preserve">2. Conceptual Framework</w:t>
      </w:r>
    </w:p>
    <w:p>
      <w:pPr>
        <w:pStyle w:val="Heading2"/>
        <w:spacing w:before="280" w:after="160"/>
      </w:pPr>
      <w:r>
        <w:rPr>
          <w:rFonts w:ascii="Arial" w:cs="Arial" w:eastAsia="Arial" w:hAnsi="Arial"/>
          <w:b/>
          <w:bCs/>
          <w:color w:val="2E5090"/>
          <w:sz w:val="26"/>
          <w:szCs w:val="26"/>
        </w:rPr>
        <w:t xml:space="preserve">2.1 The Social Cost of Military Manpower</w:t>
      </w:r>
    </w:p>
    <w:p>
      <w:pPr>
        <w:spacing w:after="160"/>
        <w:jc w:val="both"/>
      </w:pPr>
      <w:r>
        <w:rPr>
          <w:rFonts w:ascii="Arial" w:cs="Arial" w:eastAsia="Arial" w:hAnsi="Arial"/>
          <w:b w:val="false"/>
          <w:bCs w:val="false"/>
          <w:i w:val="false"/>
          <w:iCs w:val="false"/>
          <w:sz w:val="20"/>
          <w:szCs w:val="20"/>
        </w:rPr>
        <w:t xml:space="preserve">Following the theoretical tradition of Oi (1967), Hansen &amp; Weisbrod (1967), and more recently Poutvaara &amp; Wagener (2007), we define the total social cost of a military manpower system as the sum of all resources consumed or foregone by society to maintain a given force level. This includes not only the direct fiscal transfers visible in the defence budget but also the implicit costs borne by conscripts (or their families) and the economy at large.</w:t>
      </w:r>
    </w:p>
    <w:p>
      <w:pPr>
        <w:spacing w:after="160"/>
        <w:jc w:val="both"/>
      </w:pPr>
      <w:r>
        <w:rPr>
          <w:rFonts w:ascii="Arial" w:cs="Arial" w:eastAsia="Arial" w:hAnsi="Arial"/>
          <w:b w:val="false"/>
          <w:bCs w:val="false"/>
          <w:i w:val="false"/>
          <w:iCs w:val="false"/>
          <w:sz w:val="20"/>
          <w:szCs w:val="20"/>
        </w:rPr>
        <w:t xml:space="preserve">The key insight from the economics of conscription literature is that conscription operates as an implicit tax on the conscripted cohort. The tax base is the difference between what a conscript could earn in the civilian economy and what the military pays. Unlike an explicit tax, this burden is concentrated on a narrow demographic group (young men aged 18–19) and is not recorded in any government budget.</w:t>
      </w:r>
    </w:p>
    <w:p>
      <w:pPr>
        <w:pStyle w:val="Heading2"/>
        <w:spacing w:before="280" w:after="160"/>
      </w:pPr>
      <w:r>
        <w:rPr>
          <w:rFonts w:ascii="Arial" w:cs="Arial" w:eastAsia="Arial" w:hAnsi="Arial"/>
          <w:b/>
          <w:bCs/>
          <w:color w:val="2E5090"/>
          <w:sz w:val="26"/>
          <w:szCs w:val="26"/>
        </w:rPr>
        <w:t xml:space="preserve">2.2 Human Capital Accumulation Model</w:t>
      </w:r>
    </w:p>
    <w:p>
      <w:pPr>
        <w:spacing w:after="160"/>
        <w:jc w:val="both"/>
      </w:pPr>
      <w:r>
        <w:rPr>
          <w:rFonts w:ascii="Arial" w:cs="Arial" w:eastAsia="Arial" w:hAnsi="Arial"/>
          <w:b w:val="false"/>
          <w:bCs w:val="false"/>
          <w:i w:val="false"/>
          <w:iCs w:val="false"/>
          <w:sz w:val="20"/>
          <w:szCs w:val="20"/>
        </w:rPr>
        <w:t xml:space="preserve">We adopt a Mincerian human capital framework in which lifetime earnings are a function of education, experience, and unobserved ability. Military service interrupts the normal trajectory of human capital accumulation in three ways:</w:t>
      </w:r>
    </w:p>
    <w:p>
      <w:pPr>
        <w:spacing w:after="160"/>
        <w:jc w:val="both"/>
      </w:pPr>
      <w:r>
        <w:rPr>
          <w:rFonts w:ascii="Arial" w:cs="Arial" w:eastAsia="Arial" w:hAnsi="Arial"/>
          <w:b/>
          <w:bCs/>
          <w:sz w:val="20"/>
          <w:szCs w:val="20"/>
        </w:rPr>
        <w:t xml:space="preserve">(a) Direct displacement: </w:t>
      </w:r>
      <w:r>
        <w:rPr>
          <w:rFonts w:ascii="Arial" w:cs="Arial" w:eastAsia="Arial" w:hAnsi="Arial"/>
          <w:sz w:val="20"/>
          <w:szCs w:val="20"/>
        </w:rPr>
        <w:t xml:space="preserve">During the service period, the individual foregoes civilian wages and on-the-job training.</w:t>
      </w:r>
    </w:p>
    <w:p>
      <w:pPr>
        <w:spacing w:after="160"/>
        <w:jc w:val="both"/>
      </w:pPr>
      <w:r>
        <w:rPr>
          <w:rFonts w:ascii="Arial" w:cs="Arial" w:eastAsia="Arial" w:hAnsi="Arial"/>
          <w:b/>
          <w:bCs/>
          <w:sz w:val="20"/>
          <w:szCs w:val="20"/>
        </w:rPr>
        <w:t xml:space="preserve">(b) Education delay: </w:t>
      </w:r>
      <w:r>
        <w:rPr>
          <w:rFonts w:ascii="Arial" w:cs="Arial" w:eastAsia="Arial" w:hAnsi="Arial"/>
          <w:sz w:val="20"/>
          <w:szCs w:val="20"/>
        </w:rPr>
        <w:t xml:space="preserve">For individuals who would otherwise enter tertiary education, conscription delays the start of university by 6–9 months, pushing back the entire earnings profile.</w:t>
      </w:r>
    </w:p>
    <w:p>
      <w:pPr>
        <w:spacing w:after="160"/>
        <w:jc w:val="both"/>
      </w:pPr>
      <w:r>
        <w:rPr>
          <w:rFonts w:ascii="Arial" w:cs="Arial" w:eastAsia="Arial" w:hAnsi="Arial"/>
          <w:b/>
          <w:bCs/>
          <w:sz w:val="20"/>
          <w:szCs w:val="20"/>
        </w:rPr>
        <w:t xml:space="preserve">(c) Skill atrophy / mismatch: </w:t>
      </w:r>
      <w:r>
        <w:rPr>
          <w:rFonts w:ascii="Arial" w:cs="Arial" w:eastAsia="Arial" w:hAnsi="Arial"/>
          <w:sz w:val="20"/>
          <w:szCs w:val="20"/>
        </w:rPr>
        <w:t xml:space="preserve">Military skills are largely non-transferable to civilian occupations (with exceptions for drivers, medics, etc.), meaning the service period contributes little to civilian human capital.</w:t>
      </w:r>
    </w:p>
    <w:p>
      <w:pPr>
        <w:spacing w:after="160"/>
        <w:jc w:val="both"/>
      </w:pPr>
      <w:r>
        <w:rPr>
          <w:rFonts w:ascii="Arial" w:cs="Arial" w:eastAsia="Arial" w:hAnsi="Arial"/>
          <w:b w:val="false"/>
          <w:bCs w:val="false"/>
          <w:i w:val="false"/>
          <w:iCs w:val="false"/>
          <w:sz w:val="20"/>
          <w:szCs w:val="20"/>
        </w:rPr>
        <w:t xml:space="preserve">Against these costs, we must weigh any positive returns from military service: discipline, teamwork, physical fitness, and a modest civilian wage premium observed in some studies (though the Austrian evidence is weak, given the brevity of service).</w:t>
      </w:r>
    </w:p>
    <w:p>
      <w:pPr>
        <w:pStyle w:val="Heading2"/>
        <w:spacing w:before="280" w:after="160"/>
      </w:pPr>
      <w:r>
        <w:rPr>
          <w:rFonts w:ascii="Arial" w:cs="Arial" w:eastAsia="Arial" w:hAnsi="Arial"/>
          <w:b/>
          <w:bCs/>
          <w:color w:val="2E5090"/>
          <w:sz w:val="26"/>
          <w:szCs w:val="26"/>
        </w:rPr>
        <w:t xml:space="preserve">2.3 Labour Market Equilibrium Effects</w:t>
      </w:r>
    </w:p>
    <w:p>
      <w:pPr>
        <w:spacing w:after="160"/>
        <w:jc w:val="both"/>
      </w:pPr>
      <w:r>
        <w:rPr>
          <w:rFonts w:ascii="Arial" w:cs="Arial" w:eastAsia="Arial" w:hAnsi="Arial"/>
          <w:b w:val="false"/>
          <w:bCs w:val="false"/>
          <w:i w:val="false"/>
          <w:iCs w:val="false"/>
          <w:sz w:val="20"/>
          <w:szCs w:val="20"/>
        </w:rPr>
        <w:t xml:space="preserve">Under an AVF, the military competes for labour in the civilian market, which means fiscal costs rise but the deadweight loss of misallocation disappears. The equilibrium wage for military service will exceed the civilian reservation wage of marginal recruits by a compensating differential that reflects non-pecuniary disutility of military life (risk, regimentation, geographic inflexibility). We model this as:</w:t>
      </w:r>
    </w:p>
    <w:p>
      <w:pPr>
        <w:spacing w:before="80" w:after="80"/>
        <w:ind w:left="720"/>
      </w:pPr>
      <w:r>
        <w:rPr>
          <w:rFonts w:ascii="Consolas" w:cs="Consolas" w:eastAsia="Consolas" w:hAnsi="Consolas"/>
          <w:i/>
          <w:iCs/>
          <w:color w:val="333333"/>
          <w:sz w:val="19"/>
          <w:szCs w:val="19"/>
        </w:rPr>
        <w:t xml:space="preserve">w_m = w_c + Δ(disutility) + ε(monopsony rent)</w:t>
      </w:r>
    </w:p>
    <w:p>
      <w:pPr>
        <w:spacing w:after="160"/>
        <w:jc w:val="both"/>
      </w:pPr>
      <w:r>
        <w:rPr>
          <w:rFonts w:ascii="Arial" w:cs="Arial" w:eastAsia="Arial" w:hAnsi="Arial"/>
          <w:b w:val="false"/>
          <w:bCs w:val="false"/>
          <w:i w:val="false"/>
          <w:iCs w:val="false"/>
          <w:sz w:val="20"/>
          <w:szCs w:val="20"/>
        </w:rPr>
        <w:t xml:space="preserve">where w_m is the military wage, w_c is the civilian alternative, and Δ captures the compensating differential required to attract volunteers. Austrian data suggest that young workers with secondary education earn approximately €1,700–€2,200 gross per month, which sets the floor for AVF wages.</w:t>
      </w:r>
    </w:p>
    <w:p>
      <w:pPr>
        <w:pStyle w:val="Heading2"/>
        <w:spacing w:before="280" w:after="160"/>
      </w:pPr>
      <w:r>
        <w:rPr>
          <w:rFonts w:ascii="Arial" w:cs="Arial" w:eastAsia="Arial" w:hAnsi="Arial"/>
          <w:b/>
          <w:bCs/>
          <w:color w:val="2E5090"/>
          <w:sz w:val="26"/>
          <w:szCs w:val="26"/>
        </w:rPr>
        <w:t xml:space="preserve">2.4 Cost Taxonomy</w:t>
      </w:r>
    </w:p>
    <w:p>
      <w:pPr>
        <w:spacing w:after="160"/>
        <w:jc w:val="both"/>
      </w:pPr>
      <w:r>
        <w:rPr>
          <w:rFonts w:ascii="Arial" w:cs="Arial" w:eastAsia="Arial" w:hAnsi="Arial"/>
          <w:b w:val="false"/>
          <w:bCs w:val="false"/>
          <w:i w:val="false"/>
          <w:iCs w:val="false"/>
          <w:sz w:val="20"/>
          <w:szCs w:val="20"/>
        </w:rPr>
        <w:t xml:space="preserve">We decompose total social cost (TSC) into five components, each estimated separately for all six variants:</w:t>
      </w:r>
    </w:p>
    <w:p>
      <w:pPr>
        <w:spacing w:after="160"/>
        <w:jc w:val="both"/>
      </w:pPr>
      <w:r>
        <w:rPr>
          <w:rFonts w:ascii="Arial" w:cs="Arial" w:eastAsia="Arial" w:hAnsi="Arial"/>
          <w:b/>
          <w:bCs/>
          <w:sz w:val="20"/>
          <w:szCs w:val="20"/>
        </w:rPr>
        <w:t xml:space="preserve">C₁ – Direct fiscal expenditures: </w:t>
      </w:r>
      <w:r>
        <w:rPr>
          <w:rFonts w:ascii="Arial" w:cs="Arial" w:eastAsia="Arial" w:hAnsi="Arial"/>
          <w:sz w:val="20"/>
          <w:szCs w:val="20"/>
        </w:rPr>
        <w:t xml:space="preserve">Personnel compensation, housing, food, equipment, healthcare.</w:t>
      </w:r>
    </w:p>
    <w:p>
      <w:pPr>
        <w:spacing w:after="160"/>
        <w:jc w:val="both"/>
      </w:pPr>
      <w:r>
        <w:rPr>
          <w:rFonts w:ascii="Arial" w:cs="Arial" w:eastAsia="Arial" w:hAnsi="Arial"/>
          <w:b/>
          <w:bCs/>
          <w:sz w:val="20"/>
          <w:szCs w:val="20"/>
        </w:rPr>
        <w:t xml:space="preserve">C₂ – Opportunity cost of foregone wages: </w:t>
      </w:r>
      <w:r>
        <w:rPr>
          <w:rFonts w:ascii="Arial" w:cs="Arial" w:eastAsia="Arial" w:hAnsi="Arial"/>
          <w:sz w:val="20"/>
          <w:szCs w:val="20"/>
        </w:rPr>
        <w:t xml:space="preserve">Civilian earnings the conscript/soldier would have received.</w:t>
      </w:r>
    </w:p>
    <w:p>
      <w:pPr>
        <w:spacing w:after="160"/>
        <w:jc w:val="both"/>
      </w:pPr>
      <w:r>
        <w:rPr>
          <w:rFonts w:ascii="Arial" w:cs="Arial" w:eastAsia="Arial" w:hAnsi="Arial"/>
          <w:b/>
          <w:bCs/>
          <w:sz w:val="20"/>
          <w:szCs w:val="20"/>
        </w:rPr>
        <w:t xml:space="preserve">C₃ – Productivity losses: </w:t>
      </w:r>
      <w:r>
        <w:rPr>
          <w:rFonts w:ascii="Arial" w:cs="Arial" w:eastAsia="Arial" w:hAnsi="Arial"/>
          <w:sz w:val="20"/>
          <w:szCs w:val="20"/>
        </w:rPr>
        <w:t xml:space="preserve">Reduced output to the economy from removing workers from civilian roles.</w:t>
      </w:r>
    </w:p>
    <w:p>
      <w:pPr>
        <w:spacing w:after="160"/>
        <w:jc w:val="both"/>
      </w:pPr>
      <w:r>
        <w:rPr>
          <w:rFonts w:ascii="Arial" w:cs="Arial" w:eastAsia="Arial" w:hAnsi="Arial"/>
          <w:b/>
          <w:bCs/>
          <w:sz w:val="20"/>
          <w:szCs w:val="20"/>
        </w:rPr>
        <w:t xml:space="preserve">C₄ – Long-term earnings effects: </w:t>
      </w:r>
      <w:r>
        <w:rPr>
          <w:rFonts w:ascii="Arial" w:cs="Arial" w:eastAsia="Arial" w:hAnsi="Arial"/>
          <w:sz w:val="20"/>
          <w:szCs w:val="20"/>
        </w:rPr>
        <w:t xml:space="preserve">Present value of lifetime earnings reductions due to delayed education, lost experience, and skill mismatch.</w:t>
      </w:r>
    </w:p>
    <w:p>
      <w:pPr>
        <w:spacing w:after="160"/>
        <w:jc w:val="both"/>
      </w:pPr>
      <w:r>
        <w:rPr>
          <w:rFonts w:ascii="Arial" w:cs="Arial" w:eastAsia="Arial" w:hAnsi="Arial"/>
          <w:b/>
          <w:bCs/>
          <w:sz w:val="20"/>
          <w:szCs w:val="20"/>
        </w:rPr>
        <w:t xml:space="preserve">C₅ – Administrative and training costs: </w:t>
      </w:r>
      <w:r>
        <w:rPr>
          <w:rFonts w:ascii="Arial" w:cs="Arial" w:eastAsia="Arial" w:hAnsi="Arial"/>
          <w:sz w:val="20"/>
          <w:szCs w:val="20"/>
        </w:rPr>
        <w:t xml:space="preserve">Recruitment, processing, basic training infrastructure, and turnover costs.</w:t>
      </w:r>
    </w:p>
    <w:p>
      <w:r>
        <w:br w:type="page"/>
      </w:r>
    </w:p>
    <w:p>
      <w:pPr>
        <w:pStyle w:val="Heading1"/>
        <w:spacing w:before="360" w:after="200"/>
      </w:pPr>
      <w:r>
        <w:rPr>
          <w:rFonts w:ascii="Arial" w:cs="Arial" w:eastAsia="Arial" w:hAnsi="Arial"/>
          <w:b/>
          <w:bCs/>
          <w:color w:val="1A3764"/>
          <w:sz w:val="32"/>
          <w:szCs w:val="32"/>
        </w:rPr>
        <w:t xml:space="preserve">3. Mathematical Model</w:t>
      </w:r>
    </w:p>
    <w:p>
      <w:pPr>
        <w:pStyle w:val="Heading2"/>
        <w:spacing w:before="280" w:after="160"/>
      </w:pPr>
      <w:r>
        <w:rPr>
          <w:rFonts w:ascii="Arial" w:cs="Arial" w:eastAsia="Arial" w:hAnsi="Arial"/>
          <w:b/>
          <w:bCs/>
          <w:color w:val="2E5090"/>
          <w:sz w:val="26"/>
          <w:szCs w:val="26"/>
        </w:rPr>
        <w:t xml:space="preserve">3.1 Total Social Cost Function</w:t>
      </w:r>
    </w:p>
    <w:p>
      <w:pPr>
        <w:spacing w:after="160"/>
        <w:jc w:val="both"/>
      </w:pPr>
      <w:r>
        <w:rPr>
          <w:rFonts w:ascii="Arial" w:cs="Arial" w:eastAsia="Arial" w:hAnsi="Arial"/>
          <w:b w:val="false"/>
          <w:bCs w:val="false"/>
          <w:i w:val="false"/>
          <w:iCs w:val="false"/>
          <w:sz w:val="20"/>
          <w:szCs w:val="20"/>
        </w:rPr>
        <w:t xml:space="preserve">Let i index variants (1–6), t index time periods, and j index individual conscripts/soldiers. The total social cost for variant i is:</w:t>
      </w:r>
    </w:p>
    <w:p>
      <w:pPr>
        <w:spacing w:before="80" w:after="80"/>
        <w:ind w:left="720"/>
      </w:pPr>
      <w:r>
        <w:rPr>
          <w:rFonts w:ascii="Consolas" w:cs="Consolas" w:eastAsia="Consolas" w:hAnsi="Consolas"/>
          <w:i/>
          <w:iCs/>
          <w:color w:val="333333"/>
          <w:sz w:val="19"/>
          <w:szCs w:val="19"/>
        </w:rPr>
        <w:t xml:space="preserve">TSC_i = C1_i + C2_i + C3_i + C4_i + C5_i</w:t>
      </w:r>
    </w:p>
    <w:p>
      <w:pPr>
        <w:spacing w:after="160"/>
        <w:jc w:val="both"/>
      </w:pPr>
      <w:r>
        <w:rPr>
          <w:rFonts w:ascii="Arial" w:cs="Arial" w:eastAsia="Arial" w:hAnsi="Arial"/>
          <w:b w:val="false"/>
          <w:bCs w:val="false"/>
          <w:i w:val="false"/>
          <w:iCs w:val="false"/>
          <w:sz w:val="20"/>
          <w:szCs w:val="20"/>
        </w:rPr>
        <w:t xml:space="preserve">where each component is defined as follows.</w:t>
      </w:r>
    </w:p>
    <w:p>
      <w:pPr>
        <w:pStyle w:val="Heading2"/>
        <w:spacing w:before="280" w:after="160"/>
      </w:pPr>
      <w:r>
        <w:rPr>
          <w:rFonts w:ascii="Arial" w:cs="Arial" w:eastAsia="Arial" w:hAnsi="Arial"/>
          <w:b/>
          <w:bCs/>
          <w:color w:val="2E5090"/>
          <w:sz w:val="26"/>
          <w:szCs w:val="26"/>
        </w:rPr>
        <w:t xml:space="preserve">3.2 Direct Fiscal Cost (C₁)</w:t>
      </w:r>
    </w:p>
    <w:p>
      <w:pPr>
        <w:spacing w:after="160"/>
        <w:jc w:val="both"/>
      </w:pPr>
      <w:r>
        <w:rPr>
          <w:rFonts w:ascii="Arial" w:cs="Arial" w:eastAsia="Arial" w:hAnsi="Arial"/>
          <w:b w:val="false"/>
          <w:bCs w:val="false"/>
          <w:i w:val="false"/>
          <w:iCs w:val="false"/>
          <w:sz w:val="20"/>
          <w:szCs w:val="20"/>
        </w:rPr>
        <w:t xml:space="preserve">For conscription variants:</w:t>
      </w:r>
    </w:p>
    <w:p>
      <w:pPr>
        <w:spacing w:before="80" w:after="80"/>
        <w:ind w:left="720"/>
      </w:pPr>
      <w:r>
        <w:rPr>
          <w:rFonts w:ascii="Consolas" w:cs="Consolas" w:eastAsia="Consolas" w:hAnsi="Consolas"/>
          <w:i/>
          <w:iCs/>
          <w:color w:val="333333"/>
          <w:sz w:val="19"/>
          <w:szCs w:val="19"/>
        </w:rPr>
        <w:t xml:space="preserve">C1 = N_c × T_s × (w_conscript + k_overhead) + F_admin + F_infrastructure</w:t>
      </w:r>
    </w:p>
    <w:p>
      <w:pPr>
        <w:spacing w:after="160"/>
        <w:jc w:val="both"/>
      </w:pPr>
      <w:r>
        <w:rPr>
          <w:rFonts w:ascii="Arial" w:cs="Arial" w:eastAsia="Arial" w:hAnsi="Arial"/>
          <w:b w:val="false"/>
          <w:bCs w:val="false"/>
          <w:i w:val="false"/>
          <w:iCs w:val="false"/>
          <w:sz w:val="20"/>
          <w:szCs w:val="20"/>
        </w:rPr>
        <w:t xml:space="preserve">where N_c is the number of conscripts per year, T_s is the service duration (in months), w_conscript is monthly conscript pay, k_overhead is per-conscript monthly overhead (food, housing, equipment amortization), F_admin is fixed administrative cost, and F_infrastructure is annualized training infrastructure cost.</w:t>
      </w:r>
    </w:p>
    <w:p>
      <w:pPr>
        <w:spacing w:after="160"/>
        <w:jc w:val="both"/>
      </w:pPr>
      <w:r>
        <w:rPr>
          <w:rFonts w:ascii="Arial" w:cs="Arial" w:eastAsia="Arial" w:hAnsi="Arial"/>
          <w:b w:val="false"/>
          <w:bCs w:val="false"/>
          <w:i w:val="false"/>
          <w:iCs w:val="false"/>
          <w:sz w:val="20"/>
          <w:szCs w:val="20"/>
        </w:rPr>
        <w:t xml:space="preserve">For AVF variants:</w:t>
      </w:r>
    </w:p>
    <w:p>
      <w:pPr>
        <w:spacing w:before="80" w:after="80"/>
        <w:ind w:left="720"/>
      </w:pPr>
      <w:r>
        <w:rPr>
          <w:rFonts w:ascii="Consolas" w:cs="Consolas" w:eastAsia="Consolas" w:hAnsi="Consolas"/>
          <w:i/>
          <w:iCs/>
          <w:color w:val="333333"/>
          <w:sz w:val="19"/>
          <w:szCs w:val="19"/>
        </w:rPr>
        <w:t xml:space="preserve">C1 = N_avf × 12 × (w_soldier + k_overhead) + B_signing + B_education + F_admin</w:t>
      </w:r>
    </w:p>
    <w:p>
      <w:pPr>
        <w:spacing w:after="160"/>
        <w:jc w:val="both"/>
      </w:pPr>
      <w:r>
        <w:rPr>
          <w:rFonts w:ascii="Arial" w:cs="Arial" w:eastAsia="Arial" w:hAnsi="Arial"/>
          <w:b w:val="false"/>
          <w:bCs w:val="false"/>
          <w:i w:val="false"/>
          <w:iCs w:val="false"/>
          <w:sz w:val="20"/>
          <w:szCs w:val="20"/>
        </w:rPr>
        <w:t xml:space="preserve">where N_avf is the required number of professional soldiers, w_soldier is the competitive monthly wage, and B terms represent bonuses and education benefits.</w:t>
      </w:r>
    </w:p>
    <w:p>
      <w:pPr>
        <w:pStyle w:val="Heading2"/>
        <w:spacing w:before="280" w:after="160"/>
      </w:pPr>
      <w:r>
        <w:rPr>
          <w:rFonts w:ascii="Arial" w:cs="Arial" w:eastAsia="Arial" w:hAnsi="Arial"/>
          <w:b/>
          <w:bCs/>
          <w:color w:val="2E5090"/>
          <w:sz w:val="26"/>
          <w:szCs w:val="26"/>
        </w:rPr>
        <w:t xml:space="preserve">3.3 Opportunity Cost (C₂)</w:t>
      </w:r>
    </w:p>
    <w:p>
      <w:pPr>
        <w:spacing w:after="160"/>
        <w:jc w:val="both"/>
      </w:pPr>
      <w:r>
        <w:rPr>
          <w:rFonts w:ascii="Arial" w:cs="Arial" w:eastAsia="Arial" w:hAnsi="Arial"/>
          <w:b w:val="false"/>
          <w:bCs w:val="false"/>
          <w:i w:val="false"/>
          <w:iCs w:val="false"/>
          <w:sz w:val="20"/>
          <w:szCs w:val="20"/>
        </w:rPr>
        <w:t xml:space="preserve">For conscription:</w:t>
      </w:r>
    </w:p>
    <w:p>
      <w:pPr>
        <w:spacing w:before="80" w:after="80"/>
        <w:ind w:left="720"/>
      </w:pPr>
      <w:r>
        <w:rPr>
          <w:rFonts w:ascii="Consolas" w:cs="Consolas" w:eastAsia="Consolas" w:hAnsi="Consolas"/>
          <w:i/>
          <w:iCs/>
          <w:color w:val="333333"/>
          <w:sz w:val="19"/>
          <w:szCs w:val="19"/>
        </w:rPr>
        <w:t xml:space="preserve">C2 = Σ_j [ w_civ(j) × T_s × (1 - α) ]</w:t>
      </w:r>
    </w:p>
    <w:p>
      <w:pPr>
        <w:spacing w:after="160"/>
        <w:jc w:val="both"/>
      </w:pPr>
      <w:r>
        <w:rPr>
          <w:rFonts w:ascii="Arial" w:cs="Arial" w:eastAsia="Arial" w:hAnsi="Arial"/>
          <w:b w:val="false"/>
          <w:bCs w:val="false"/>
          <w:i w:val="false"/>
          <w:iCs w:val="false"/>
          <w:sz w:val="20"/>
          <w:szCs w:val="20"/>
        </w:rPr>
        <w:t xml:space="preserve">where w_civ(j) is the counterfactual civilian wage of conscript j, and α is the fraction of civilian value retained (set to 0.05 reflecting minimal transferable skill acquisition). For AVF variants, C₂ is internalised in the wage (soldiers self-select, so the opportunity cost equals the wage paid minus their consumer surplus from the job choice).</w:t>
      </w:r>
    </w:p>
    <w:p>
      <w:pPr>
        <w:pStyle w:val="Heading2"/>
        <w:spacing w:before="280" w:after="160"/>
      </w:pPr>
      <w:r>
        <w:rPr>
          <w:rFonts w:ascii="Arial" w:cs="Arial" w:eastAsia="Arial" w:hAnsi="Arial"/>
          <w:b/>
          <w:bCs/>
          <w:color w:val="2E5090"/>
          <w:sz w:val="26"/>
          <w:szCs w:val="26"/>
        </w:rPr>
        <w:t xml:space="preserve">3.4 Productivity Losses (C₃)</w:t>
      </w:r>
    </w:p>
    <w:p>
      <w:pPr>
        <w:spacing w:after="160"/>
        <w:jc w:val="both"/>
      </w:pPr>
      <w:r>
        <w:rPr>
          <w:rFonts w:ascii="Arial" w:cs="Arial" w:eastAsia="Arial" w:hAnsi="Arial"/>
          <w:b w:val="false"/>
          <w:bCs w:val="false"/>
          <w:i w:val="false"/>
          <w:iCs w:val="false"/>
          <w:sz w:val="20"/>
          <w:szCs w:val="20"/>
        </w:rPr>
        <w:t xml:space="preserve">The economy loses output when workers are withdrawn from civilian production. Under standard neoclassical assumptions with competitive labour markets:</w:t>
      </w:r>
    </w:p>
    <w:p>
      <w:pPr>
        <w:spacing w:before="80" w:after="80"/>
        <w:ind w:left="720"/>
      </w:pPr>
      <w:r>
        <w:rPr>
          <w:rFonts w:ascii="Consolas" w:cs="Consolas" w:eastAsia="Consolas" w:hAnsi="Consolas"/>
          <w:i/>
          <w:iCs/>
          <w:color w:val="333333"/>
          <w:sz w:val="19"/>
          <w:szCs w:val="19"/>
        </w:rPr>
        <w:t xml:space="preserve">C3 = Σ_j [ MPL(j) × T_s ] ≈ Σ_j [ w_civ(j) × T_s × λ ]</w:t>
      </w:r>
    </w:p>
    <w:p>
      <w:pPr>
        <w:spacing w:after="160"/>
        <w:jc w:val="both"/>
      </w:pPr>
      <w:r>
        <w:rPr>
          <w:rFonts w:ascii="Arial" w:cs="Arial" w:eastAsia="Arial" w:hAnsi="Arial"/>
          <w:b w:val="false"/>
          <w:bCs w:val="false"/>
          <w:i w:val="false"/>
          <w:iCs w:val="false"/>
          <w:sz w:val="20"/>
          <w:szCs w:val="20"/>
        </w:rPr>
        <w:t xml:space="preserve">where λ is a multiplier capturing the wedge between wages and marginal product (including employer social contributions at ~30% in Austria). For AVF, productivity losses are lower because volunteers tend to have lower civilian productivity (self-selection).</w:t>
      </w:r>
    </w:p>
    <w:p>
      <w:pPr>
        <w:pStyle w:val="Heading2"/>
        <w:spacing w:before="280" w:after="160"/>
      </w:pPr>
      <w:r>
        <w:rPr>
          <w:rFonts w:ascii="Arial" w:cs="Arial" w:eastAsia="Arial" w:hAnsi="Arial"/>
          <w:b/>
          <w:bCs/>
          <w:color w:val="2E5090"/>
          <w:sz w:val="26"/>
          <w:szCs w:val="26"/>
        </w:rPr>
        <w:t xml:space="preserve">3.5 Long-Term Earnings Effects (C₄)</w:t>
      </w:r>
    </w:p>
    <w:p>
      <w:pPr>
        <w:spacing w:after="160"/>
        <w:jc w:val="both"/>
      </w:pPr>
      <w:r>
        <w:rPr>
          <w:rFonts w:ascii="Arial" w:cs="Arial" w:eastAsia="Arial" w:hAnsi="Arial"/>
          <w:b w:val="false"/>
          <w:bCs w:val="false"/>
          <w:i w:val="false"/>
          <w:iCs w:val="false"/>
          <w:sz w:val="20"/>
          <w:szCs w:val="20"/>
        </w:rPr>
        <w:t xml:space="preserve">Using a Mincerian earnings function, the present value of lifetime earnings loss from T months of service is:</w:t>
      </w:r>
    </w:p>
    <w:p>
      <w:pPr>
        <w:spacing w:before="80" w:after="80"/>
        <w:ind w:left="720"/>
      </w:pPr>
      <w:r>
        <w:rPr>
          <w:rFonts w:ascii="Consolas" w:cs="Consolas" w:eastAsia="Consolas" w:hAnsi="Consolas"/>
          <w:i/>
          <w:iCs/>
          <w:color w:val="333333"/>
          <w:sz w:val="19"/>
          <w:szCs w:val="19"/>
        </w:rPr>
        <w:t xml:space="preserve">C4 = Σ_j PV[ β_exp × w_0(j) × (T/12) × R_remaining(j) ]</w:t>
      </w:r>
    </w:p>
    <w:p>
      <w:pPr>
        <w:spacing w:after="160"/>
        <w:jc w:val="both"/>
      </w:pPr>
      <w:r>
        <w:rPr>
          <w:rFonts w:ascii="Arial" w:cs="Arial" w:eastAsia="Arial" w:hAnsi="Arial"/>
          <w:b w:val="false"/>
          <w:bCs w:val="false"/>
          <w:i w:val="false"/>
          <w:iCs w:val="false"/>
          <w:sz w:val="20"/>
          <w:szCs w:val="20"/>
        </w:rPr>
        <w:t xml:space="preserve">where β_exp is the Mincerian return to experience (~3–5% per year in Austria), w_0(j) is the starting wage, R_remaining(j) is remaining working years (~42 years from age 18), and PV denotes present value at discount rate r = 3%.</w:t>
      </w:r>
    </w:p>
    <w:p>
      <w:pPr>
        <w:pStyle w:val="Heading2"/>
        <w:spacing w:before="280" w:after="160"/>
      </w:pPr>
      <w:r>
        <w:rPr>
          <w:rFonts w:ascii="Arial" w:cs="Arial" w:eastAsia="Arial" w:hAnsi="Arial"/>
          <w:b/>
          <w:bCs/>
          <w:color w:val="2E5090"/>
          <w:sz w:val="26"/>
          <w:szCs w:val="26"/>
        </w:rPr>
        <w:t xml:space="preserve">3.6 Administrative and Training Costs (C₅)</w:t>
      </w:r>
    </w:p>
    <w:p>
      <w:pPr>
        <w:spacing w:before="80" w:after="80"/>
        <w:ind w:left="720"/>
      </w:pPr>
      <w:r>
        <w:rPr>
          <w:rFonts w:ascii="Consolas" w:cs="Consolas" w:eastAsia="Consolas" w:hAnsi="Consolas"/>
          <w:i/>
          <w:iCs/>
          <w:color w:val="333333"/>
          <w:sz w:val="19"/>
          <w:szCs w:val="19"/>
        </w:rPr>
        <w:t xml:space="preserve">C5 = N_intake × c_recruit + N_intake × c_train(T_basic) + c_fixed</w:t>
      </w:r>
    </w:p>
    <w:p>
      <w:pPr>
        <w:spacing w:after="160"/>
        <w:jc w:val="both"/>
      </w:pPr>
      <w:r>
        <w:rPr>
          <w:rFonts w:ascii="Arial" w:cs="Arial" w:eastAsia="Arial" w:hAnsi="Arial"/>
          <w:b w:val="false"/>
          <w:bCs w:val="false"/>
          <w:i w:val="false"/>
          <w:iCs w:val="false"/>
          <w:sz w:val="20"/>
          <w:szCs w:val="20"/>
        </w:rPr>
        <w:t xml:space="preserve">For conscription, N_intake is very large (~15,000/year) with short basic training. For AVF, N_intake is smaller but c_train is higher due to longer, more intensive training. c_fixed includes permanent training installations.</w:t>
      </w:r>
    </w:p>
    <w:p>
      <w:r>
        <w:br w:type="page"/>
      </w:r>
    </w:p>
    <w:p>
      <w:pPr>
        <w:pStyle w:val="Heading1"/>
        <w:spacing w:before="360" w:after="200"/>
      </w:pPr>
      <w:r>
        <w:rPr>
          <w:rFonts w:ascii="Arial" w:cs="Arial" w:eastAsia="Arial" w:hAnsi="Arial"/>
          <w:b/>
          <w:bCs/>
          <w:color w:val="1A3764"/>
          <w:sz w:val="32"/>
          <w:szCs w:val="32"/>
        </w:rPr>
        <w:t xml:space="preserve">4. Data Inputs and Assumptions</w:t>
      </w:r>
    </w:p>
    <w:p>
      <w:pPr>
        <w:pStyle w:val="Heading2"/>
        <w:spacing w:before="280" w:after="160"/>
      </w:pPr>
      <w:r>
        <w:rPr>
          <w:rFonts w:ascii="Arial" w:cs="Arial" w:eastAsia="Arial" w:hAnsi="Arial"/>
          <w:b/>
          <w:bCs/>
          <w:color w:val="2E5090"/>
          <w:sz w:val="26"/>
          <w:szCs w:val="26"/>
        </w:rPr>
        <w:t xml:space="preserve">4.1 Austrian Demographic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3200"/>
        <w:gridCol w:w="2160"/>
      </w:tblGrid>
      <w:tr>
        <w:tc>
          <w:tcPr>
            <w:tcW w:type="dxa" w:w="40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Parameter</w:t>
            </w:r>
          </w:p>
        </w:tc>
        <w:tc>
          <w:tcPr>
            <w:tcW w:type="dxa" w:w="32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Value</w:t>
            </w:r>
          </w:p>
        </w:tc>
        <w:tc>
          <w:tcPr>
            <w:tcW w:type="dxa" w:w="21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Source</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Male cohort reaching age 18 (annual)</w:t>
            </w:r>
          </w:p>
        </w:tc>
        <w:tc>
          <w:tcPr>
            <w:tcW w:type="dxa" w:w="3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~48,000</w:t>
            </w:r>
          </w:p>
        </w:tc>
        <w:tc>
          <w:tcPr>
            <w:tcW w:type="dxa" w:w="21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Bundesheer</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Deemed fit for service</w:t>
            </w:r>
          </w:p>
        </w:tc>
        <w:tc>
          <w:tcPr>
            <w:tcW w:type="dxa" w:w="3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~28,800 (2024)</w:t>
            </w:r>
          </w:p>
        </w:tc>
        <w:tc>
          <w:tcPr>
            <w:tcW w:type="dxa" w:w="21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MoD 2024</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Opt for military service (vs. Zivildienst)</w:t>
            </w:r>
          </w:p>
        </w:tc>
        <w:tc>
          <w:tcPr>
            <w:tcW w:type="dxa" w:w="3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~16,400 (57%)</w:t>
            </w:r>
          </w:p>
        </w:tc>
        <w:tc>
          <w:tcPr>
            <w:tcW w:type="dxa" w:w="21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MoD 2024</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Actually begin service</w:t>
            </w:r>
          </w:p>
        </w:tc>
        <w:tc>
          <w:tcPr>
            <w:tcW w:type="dxa" w:w="3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~14,700</w:t>
            </w:r>
          </w:p>
        </w:tc>
        <w:tc>
          <w:tcPr>
            <w:tcW w:type="dxa" w:w="21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MoD 2024</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Active professional soldiers</w:t>
            </w:r>
          </w:p>
        </w:tc>
        <w:tc>
          <w:tcPr>
            <w:tcW w:type="dxa" w:w="3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~16,000</w:t>
            </w:r>
          </w:p>
        </w:tc>
        <w:tc>
          <w:tcPr>
            <w:tcW w:type="dxa" w:w="21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Wikipedia/MoD</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Reservists</w:t>
            </w:r>
          </w:p>
        </w:tc>
        <w:tc>
          <w:tcPr>
            <w:tcW w:type="dxa" w:w="3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~125,600</w:t>
            </w:r>
          </w:p>
        </w:tc>
        <w:tc>
          <w:tcPr>
            <w:tcW w:type="dxa" w:w="21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Bundesheer</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Conscription duration</w:t>
            </w:r>
          </w:p>
        </w:tc>
        <w:tc>
          <w:tcPr>
            <w:tcW w:type="dxa" w:w="3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6 months</w:t>
            </w:r>
          </w:p>
        </w:tc>
        <w:tc>
          <w:tcPr>
            <w:tcW w:type="dxa" w:w="21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Law</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GDP (2024, current prices)</w:t>
            </w:r>
          </w:p>
        </w:tc>
        <w:tc>
          <w:tcPr>
            <w:tcW w:type="dxa" w:w="3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€494 billion</w:t>
            </w:r>
          </w:p>
        </w:tc>
        <w:tc>
          <w:tcPr>
            <w:tcW w:type="dxa" w:w="21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Statistik AT</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Defence budget (2025)</w:t>
            </w:r>
          </w:p>
        </w:tc>
        <w:tc>
          <w:tcPr>
            <w:tcW w:type="dxa" w:w="3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€4.74 billion</w:t>
            </w:r>
          </w:p>
        </w:tc>
        <w:tc>
          <w:tcPr>
            <w:tcW w:type="dxa" w:w="21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MoD 2025</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Population</w:t>
            </w:r>
          </w:p>
        </w:tc>
        <w:tc>
          <w:tcPr>
            <w:tcW w:type="dxa" w:w="3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~9.12 million</w:t>
            </w:r>
          </w:p>
        </w:tc>
        <w:tc>
          <w:tcPr>
            <w:tcW w:type="dxa" w:w="21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Statistik AT</w:t>
            </w:r>
          </w:p>
        </w:tc>
      </w:tr>
    </w:tbl>
    <w:p>
      <w:pPr>
        <w:spacing w:before="200"/>
      </w:pPr>
    </w:p>
    <w:p>
      <w:pPr>
        <w:pStyle w:val="Heading2"/>
        <w:spacing w:before="280" w:after="160"/>
      </w:pPr>
      <w:r>
        <w:rPr>
          <w:rFonts w:ascii="Arial" w:cs="Arial" w:eastAsia="Arial" w:hAnsi="Arial"/>
          <w:b/>
          <w:bCs/>
          <w:color w:val="2E5090"/>
          <w:sz w:val="26"/>
          <w:szCs w:val="26"/>
        </w:rPr>
        <w:t xml:space="preserve">4.2 Labour Market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60"/>
        <w:gridCol w:w="2700"/>
      </w:tblGrid>
      <w:tr>
        <w:tc>
          <w:tcPr>
            <w:tcW w:type="dxa" w:w="40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Parameter</w:t>
            </w:r>
          </w:p>
        </w:tc>
        <w:tc>
          <w:tcPr>
            <w:tcW w:type="dxa" w:w="26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Value</w:t>
            </w:r>
          </w:p>
        </w:tc>
        <w:tc>
          <w:tcPr>
            <w:tcW w:type="dxa" w:w="27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Source / Basis</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Avg annual wage (full-time, 2024)</w:t>
            </w:r>
          </w:p>
        </w:tc>
        <w:tc>
          <w:tcPr>
            <w:tcW w:type="dxa" w:w="26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€51,500–€57,000</w:t>
            </w:r>
          </w:p>
        </w:tc>
        <w:tc>
          <w:tcPr>
            <w:tcW w:type="dxa" w:w="27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OECD/Statistik AT</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Median gross monthly wage (all workers)</w:t>
            </w:r>
          </w:p>
        </w:tc>
        <w:tc>
          <w:tcPr>
            <w:tcW w:type="dxa" w:w="26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€3,170</w:t>
            </w:r>
          </w:p>
        </w:tc>
        <w:tc>
          <w:tcPr>
            <w:tcW w:type="dxa" w:w="27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TradingEconomics</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Entry-level wage (age 18–19, secondary ed.)</w:t>
            </w:r>
          </w:p>
        </w:tc>
        <w:tc>
          <w:tcPr>
            <w:tcW w:type="dxa" w:w="26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€1,700–€2,200/mo</w:t>
            </w:r>
          </w:p>
        </w:tc>
        <w:tc>
          <w:tcPr>
            <w:tcW w:type="dxa" w:w="27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Collective agreements</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Conscript monthly pay (2024)</w:t>
            </w:r>
          </w:p>
        </w:tc>
        <w:tc>
          <w:tcPr>
            <w:tcW w:type="dxa" w:w="26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€363 (€238 + €125)</w:t>
            </w:r>
          </w:p>
        </w:tc>
        <w:tc>
          <w:tcPr>
            <w:tcW w:type="dxa" w:w="27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oesterreich.gv.at</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Employer social contribution rate</w:t>
            </w:r>
          </w:p>
        </w:tc>
        <w:tc>
          <w:tcPr>
            <w:tcW w:type="dxa" w:w="26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~30% of gross</w:t>
            </w:r>
          </w:p>
        </w:tc>
        <w:tc>
          <w:tcPr>
            <w:tcW w:type="dxa" w:w="27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Standard AT rate</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Unemployment rate (2024)</w:t>
            </w:r>
          </w:p>
        </w:tc>
        <w:tc>
          <w:tcPr>
            <w:tcW w:type="dxa" w:w="26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5.2%</w:t>
            </w:r>
          </w:p>
        </w:tc>
        <w:tc>
          <w:tcPr>
            <w:tcW w:type="dxa" w:w="27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World Bank</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Youth unemployment rate (15–24)</w:t>
            </w:r>
          </w:p>
        </w:tc>
        <w:tc>
          <w:tcPr>
            <w:tcW w:type="dxa" w:w="26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~10%</w:t>
            </w:r>
          </w:p>
        </w:tc>
        <w:tc>
          <w:tcPr>
            <w:tcW w:type="dxa" w:w="27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Eurostat estimate</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Mincerian return to experience</w:t>
            </w:r>
          </w:p>
        </w:tc>
        <w:tc>
          <w:tcPr>
            <w:tcW w:type="dxa" w:w="26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4% per year</w:t>
            </w:r>
          </w:p>
        </w:tc>
        <w:tc>
          <w:tcPr>
            <w:tcW w:type="dxa" w:w="27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Literature avg.</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Discount rate</w:t>
            </w:r>
          </w:p>
        </w:tc>
        <w:tc>
          <w:tcPr>
            <w:tcW w:type="dxa" w:w="26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3% real</w:t>
            </w:r>
          </w:p>
        </w:tc>
        <w:tc>
          <w:tcPr>
            <w:tcW w:type="dxa" w:w="27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Standard policy</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60"/>
        <w:gridCol w:w="2700"/>
      </w:tblGrid>
      <w:tr>
        <w:tc>
          <w:tcPr>
            <w:tcW w:type="dxa" w:w="40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Parameter</w:t>
            </w:r>
          </w:p>
        </w:tc>
        <w:tc>
          <w:tcPr>
            <w:tcW w:type="dxa" w:w="26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Value</w:t>
            </w:r>
          </w:p>
        </w:tc>
        <w:tc>
          <w:tcPr>
            <w:tcW w:type="dxa" w:w="27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Source / Basis</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Avg annual wage (full-time, 2024)</w:t>
            </w:r>
          </w:p>
        </w:tc>
        <w:tc>
          <w:tcPr>
            <w:tcW w:type="dxa" w:w="26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€51,500–€57,000</w:t>
            </w:r>
          </w:p>
        </w:tc>
        <w:tc>
          <w:tcPr>
            <w:tcW w:type="dxa" w:w="27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OECD/Statistik AT</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Median gross monthly wage (all workers)</w:t>
            </w:r>
          </w:p>
        </w:tc>
        <w:tc>
          <w:tcPr>
            <w:tcW w:type="dxa" w:w="26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€3,170</w:t>
            </w:r>
          </w:p>
        </w:tc>
        <w:tc>
          <w:tcPr>
            <w:tcW w:type="dxa" w:w="27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TradingEconomics</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Entry-level wage (age 18–19, secondary ed.)</w:t>
            </w:r>
          </w:p>
        </w:tc>
        <w:tc>
          <w:tcPr>
            <w:tcW w:type="dxa" w:w="26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€1,700–€2,200/mo</w:t>
            </w:r>
          </w:p>
        </w:tc>
        <w:tc>
          <w:tcPr>
            <w:tcW w:type="dxa" w:w="27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Collective agreements</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Conscript monthly pay (2024)</w:t>
            </w:r>
          </w:p>
        </w:tc>
        <w:tc>
          <w:tcPr>
            <w:tcW w:type="dxa" w:w="26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€363 (€238 + €125)</w:t>
            </w:r>
          </w:p>
        </w:tc>
        <w:tc>
          <w:tcPr>
            <w:tcW w:type="dxa" w:w="27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oesterreich.gv.at</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Employer social contribution rate</w:t>
            </w:r>
          </w:p>
        </w:tc>
        <w:tc>
          <w:tcPr>
            <w:tcW w:type="dxa" w:w="26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~30% of gross</w:t>
            </w:r>
          </w:p>
        </w:tc>
        <w:tc>
          <w:tcPr>
            <w:tcW w:type="dxa" w:w="27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Standard AT rate</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Unemployment rate (2024)</w:t>
            </w:r>
          </w:p>
        </w:tc>
        <w:tc>
          <w:tcPr>
            <w:tcW w:type="dxa" w:w="26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5.2%</w:t>
            </w:r>
          </w:p>
        </w:tc>
        <w:tc>
          <w:tcPr>
            <w:tcW w:type="dxa" w:w="27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World Bank</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Youth unemployment rate (15–24)</w:t>
            </w:r>
          </w:p>
        </w:tc>
        <w:tc>
          <w:tcPr>
            <w:tcW w:type="dxa" w:w="26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~10%</w:t>
            </w:r>
          </w:p>
        </w:tc>
        <w:tc>
          <w:tcPr>
            <w:tcW w:type="dxa" w:w="27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Eurostat estimate</w:t>
            </w:r>
          </w:p>
        </w:tc>
      </w:tr>
      <w:tr>
        <w:tc>
          <w:tcPr>
            <w:tcW w:type="dxa" w:w="4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Mincerian return to experience</w:t>
            </w:r>
          </w:p>
        </w:tc>
        <w:tc>
          <w:tcPr>
            <w:tcW w:type="dxa" w:w="26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4% per year</w:t>
            </w:r>
          </w:p>
        </w:tc>
        <w:tc>
          <w:tcPr>
            <w:tcW w:type="dxa" w:w="27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Literature avg.</w:t>
            </w:r>
          </w:p>
        </w:tc>
      </w:tr>
      <w:tr>
        <w:tc>
          <w:tcPr>
            <w:tcW w:type="dxa" w:w="4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Discount rate</w:t>
            </w:r>
          </w:p>
        </w:tc>
        <w:tc>
          <w:tcPr>
            <w:tcW w:type="dxa" w:w="26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3% real</w:t>
            </w:r>
          </w:p>
        </w:tc>
        <w:tc>
          <w:tcPr>
            <w:tcW w:type="dxa" w:w="27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Standard policy</w:t>
            </w:r>
          </w:p>
        </w:tc>
      </w:tr>
    </w:tbl>
    <w:p>
      <w:pPr>
        <w:spacing w:before="200"/>
      </w:pPr>
    </w:p>
    <w:p>
      <w:pPr>
        <w:pStyle w:val="Heading2"/>
        <w:spacing w:before="280" w:after="160"/>
      </w:pPr>
      <w:r>
        <w:rPr>
          <w:rFonts w:ascii="Arial" w:cs="Arial" w:eastAsia="Arial" w:hAnsi="Arial"/>
          <w:b/>
          <w:bCs/>
          <w:color w:val="2E5090"/>
          <w:sz w:val="26"/>
          <w:szCs w:val="26"/>
        </w:rPr>
        <w:t xml:space="preserve">4.3 Key Assumptions</w:t>
      </w:r>
    </w:p>
    <w:p>
      <w:pPr>
        <w:spacing w:after="160"/>
        <w:jc w:val="both"/>
      </w:pPr>
      <w:r>
        <w:rPr>
          <w:rFonts w:ascii="Arial" w:cs="Arial" w:eastAsia="Arial" w:hAnsi="Arial"/>
          <w:b/>
          <w:bCs/>
          <w:sz w:val="20"/>
          <w:szCs w:val="20"/>
        </w:rPr>
        <w:t xml:space="preserve">A1 (Civilian wage of conscripts): </w:t>
      </w:r>
      <w:r>
        <w:rPr>
          <w:rFonts w:ascii="Arial" w:cs="Arial" w:eastAsia="Arial" w:hAnsi="Arial"/>
          <w:sz w:val="20"/>
          <w:szCs w:val="20"/>
        </w:rPr>
        <w:t xml:space="preserve">We assume the average conscript, absent service, would earn €1,950 gross per month (the midpoint of the €1,700–€2,200 range for entry-level workers with secondary education). This accounts for 10% youth unemployment by applying a 0.90 employment probability, yielding an expected wage of €1,755/month.</w:t>
      </w:r>
    </w:p>
    <w:p>
      <w:pPr>
        <w:spacing w:after="160"/>
        <w:jc w:val="both"/>
      </w:pPr>
      <w:r>
        <w:rPr>
          <w:rFonts w:ascii="Arial" w:cs="Arial" w:eastAsia="Arial" w:hAnsi="Arial"/>
          <w:b/>
          <w:bCs/>
          <w:sz w:val="20"/>
          <w:szCs w:val="20"/>
        </w:rPr>
        <w:t xml:space="preserve">A2 (Transferability of military skills): </w:t>
      </w:r>
      <w:r>
        <w:rPr>
          <w:rFonts w:ascii="Arial" w:cs="Arial" w:eastAsia="Arial" w:hAnsi="Arial"/>
          <w:sz w:val="20"/>
          <w:szCs w:val="20"/>
        </w:rPr>
        <w:t xml:space="preserve">We assume 5% of military training time translates to civilian-equivalent human capital (α = 0.05). This is conservative; Austrian conscripts spend most of their six months on basic infantry training with limited civilian applicability.</w:t>
      </w:r>
    </w:p>
    <w:p>
      <w:pPr>
        <w:spacing w:after="160"/>
        <w:jc w:val="both"/>
      </w:pPr>
      <w:r>
        <w:rPr>
          <w:rFonts w:ascii="Arial" w:cs="Arial" w:eastAsia="Arial" w:hAnsi="Arial"/>
          <w:b/>
          <w:bCs/>
          <w:sz w:val="20"/>
          <w:szCs w:val="20"/>
        </w:rPr>
        <w:t xml:space="preserve">A3 (AVF target force size): </w:t>
      </w:r>
      <w:r>
        <w:rPr>
          <w:rFonts w:ascii="Arial" w:cs="Arial" w:eastAsia="Arial" w:hAnsi="Arial"/>
          <w:sz w:val="20"/>
          <w:szCs w:val="20"/>
        </w:rPr>
        <w:t xml:space="preserve">We assume an AVF must maintain 16,000 active soldiers (matching the current professional core) plus generate sufficient throughput for reserve obligations. Under conscription, ~14,700 conscripts cycle through annually, producing a reserve pool. An AVF would need ~2,000–3,000 annual recruits to sustain a 16,000-person force with 8–10 year average career lengths.</w:t>
      </w:r>
    </w:p>
    <w:p>
      <w:pPr>
        <w:spacing w:after="160"/>
        <w:jc w:val="both"/>
      </w:pPr>
      <w:r>
        <w:rPr>
          <w:rFonts w:ascii="Arial" w:cs="Arial" w:eastAsia="Arial" w:hAnsi="Arial"/>
          <w:b/>
          <w:bCs/>
          <w:sz w:val="20"/>
          <w:szCs w:val="20"/>
        </w:rPr>
        <w:t xml:space="preserve">A4 (AVF wage premium): </w:t>
      </w:r>
      <w:r>
        <w:rPr>
          <w:rFonts w:ascii="Arial" w:cs="Arial" w:eastAsia="Arial" w:hAnsi="Arial"/>
          <w:sz w:val="20"/>
          <w:szCs w:val="20"/>
        </w:rPr>
        <w:t xml:space="preserve">We assume the military must offer a 15–25% premium above comparable civilian wages to attract sufficient volunteers, reflecting compensating differentials for non-pecuniary disutility. Baseline AVF wage: €2,500/month gross; High-incentive: €3,000/month plus €10,000 signing bonus and €15,000 education benefit.</w:t>
      </w:r>
    </w:p>
    <w:p>
      <w:pPr>
        <w:spacing w:after="160"/>
        <w:jc w:val="both"/>
      </w:pPr>
      <w:r>
        <w:rPr>
          <w:rFonts w:ascii="Arial" w:cs="Arial" w:eastAsia="Arial" w:hAnsi="Arial"/>
          <w:b/>
          <w:bCs/>
          <w:sz w:val="20"/>
          <w:szCs w:val="20"/>
        </w:rPr>
        <w:t xml:space="preserve">A5 (Overhead per soldier): </w:t>
      </w:r>
      <w:r>
        <w:rPr>
          <w:rFonts w:ascii="Arial" w:cs="Arial" w:eastAsia="Arial" w:hAnsi="Arial"/>
          <w:sz w:val="20"/>
          <w:szCs w:val="20"/>
        </w:rPr>
        <w:t xml:space="preserve">Per-capita monthly overhead (food, housing, equipment, medical) is estimated at €1,200 for conscripts (lower equipment allocation) and €1,800 for professional soldiers (higher training intensity and equipment).</w:t>
      </w:r>
    </w:p>
    <w:p>
      <w:pPr>
        <w:spacing w:after="160"/>
        <w:jc w:val="both"/>
      </w:pPr>
      <w:r>
        <w:rPr>
          <w:rFonts w:ascii="Arial" w:cs="Arial" w:eastAsia="Arial" w:hAnsi="Arial"/>
          <w:b/>
          <w:bCs/>
          <w:sz w:val="20"/>
          <w:szCs w:val="20"/>
        </w:rPr>
        <w:t xml:space="preserve">A6 (Long-term earnings penalty): </w:t>
      </w:r>
      <w:r>
        <w:rPr>
          <w:rFonts w:ascii="Arial" w:cs="Arial" w:eastAsia="Arial" w:hAnsi="Arial"/>
          <w:sz w:val="20"/>
          <w:szCs w:val="20"/>
        </w:rPr>
        <w:t xml:space="preserve">Based on European literature (Bauer et al. 2012; Poutvaara &amp; Wagener 2007), 6 months of conscription reduces lifetime earnings by approximately 1.5–2.5% in present-value terms for the affected cohort, driven primarily by delayed labour market entry and education.</w:t>
      </w:r>
    </w:p>
    <w:p>
      <w:r>
        <w:br w:type="page"/>
      </w:r>
    </w:p>
    <w:p>
      <w:pPr>
        <w:pStyle w:val="Heading1"/>
        <w:spacing w:before="360" w:after="200"/>
      </w:pPr>
      <w:r>
        <w:rPr>
          <w:rFonts w:ascii="Arial" w:cs="Arial" w:eastAsia="Arial" w:hAnsi="Arial"/>
          <w:b/>
          <w:bCs/>
          <w:color w:val="1A3764"/>
          <w:sz w:val="32"/>
          <w:szCs w:val="32"/>
        </w:rPr>
        <w:t xml:space="preserve">5. Step-by-Step Calculations</w:t>
      </w:r>
    </w:p>
    <w:p>
      <w:pPr>
        <w:pStyle w:val="Heading2"/>
        <w:spacing w:before="280" w:after="160"/>
      </w:pPr>
      <w:r>
        <w:rPr>
          <w:rFonts w:ascii="Arial" w:cs="Arial" w:eastAsia="Arial" w:hAnsi="Arial"/>
          <w:b/>
          <w:bCs/>
          <w:color w:val="2E5090"/>
          <w:sz w:val="26"/>
          <w:szCs w:val="26"/>
        </w:rPr>
        <w:t xml:space="preserve">5.1 Variant 1: Current Austrian Conscription (6 months)</w:t>
      </w:r>
    </w:p>
    <w:p>
      <w:pPr>
        <w:spacing w:before="200" w:after="120"/>
      </w:pPr>
      <w:r>
        <w:rPr>
          <w:rFonts w:ascii="Arial" w:cs="Arial" w:eastAsia="Arial" w:hAnsi="Arial"/>
          <w:b/>
          <w:bCs/>
          <w:color w:val="3A6BA5"/>
          <w:sz w:val="22"/>
          <w:szCs w:val="22"/>
        </w:rPr>
        <w:t xml:space="preserve">C₁ – Direct Fiscal Cost</w:t>
      </w:r>
    </w:p>
    <w:p>
      <w:pPr>
        <w:spacing w:after="160"/>
        <w:jc w:val="both"/>
      </w:pPr>
      <w:r>
        <w:rPr>
          <w:rFonts w:ascii="Arial" w:cs="Arial" w:eastAsia="Arial" w:hAnsi="Arial"/>
          <w:b w:val="false"/>
          <w:bCs w:val="false"/>
          <w:i w:val="false"/>
          <w:iCs w:val="false"/>
          <w:sz w:val="20"/>
          <w:szCs w:val="20"/>
        </w:rPr>
        <w:t xml:space="preserve">Conscript pay: 14,700 conscripts × 6 months × €363/mo = €32.0M</w:t>
      </w:r>
    </w:p>
    <w:p>
      <w:pPr>
        <w:spacing w:after="160"/>
        <w:jc w:val="both"/>
      </w:pPr>
      <w:r>
        <w:rPr>
          <w:rFonts w:ascii="Arial" w:cs="Arial" w:eastAsia="Arial" w:hAnsi="Arial"/>
          <w:b w:val="false"/>
          <w:bCs w:val="false"/>
          <w:i w:val="false"/>
          <w:iCs w:val="false"/>
          <w:sz w:val="20"/>
          <w:szCs w:val="20"/>
        </w:rPr>
        <w:t xml:space="preserve">Per-capita overhead: 14,700 × 6 × €1,200 = €105.8M</w:t>
      </w:r>
    </w:p>
    <w:p>
      <w:pPr>
        <w:spacing w:after="160"/>
        <w:jc w:val="both"/>
      </w:pPr>
      <w:r>
        <w:rPr>
          <w:rFonts w:ascii="Arial" w:cs="Arial" w:eastAsia="Arial" w:hAnsi="Arial"/>
          <w:b w:val="false"/>
          <w:bCs w:val="false"/>
          <w:i w:val="false"/>
          <w:iCs w:val="false"/>
          <w:sz w:val="20"/>
          <w:szCs w:val="20"/>
        </w:rPr>
        <w:t xml:space="preserve">Fixed training infrastructure (annualised): €50M (est.)</w:t>
      </w:r>
    </w:p>
    <w:p>
      <w:pPr>
        <w:spacing w:after="160"/>
        <w:jc w:val="both"/>
      </w:pPr>
      <w:r>
        <w:rPr>
          <w:rFonts w:ascii="Arial" w:cs="Arial" w:eastAsia="Arial" w:hAnsi="Arial"/>
          <w:b w:val="false"/>
          <w:bCs w:val="false"/>
          <w:i w:val="false"/>
          <w:iCs w:val="false"/>
          <w:sz w:val="20"/>
          <w:szCs w:val="20"/>
        </w:rPr>
        <w:t xml:space="preserve">Administrative costs (Stellung process, medical exams for ~48,000): €30M</w:t>
      </w:r>
    </w:p>
    <w:p>
      <w:pPr>
        <w:spacing w:before="80" w:after="80"/>
        <w:ind w:left="720"/>
      </w:pPr>
      <w:r>
        <w:rPr>
          <w:rFonts w:ascii="Consolas" w:cs="Consolas" w:eastAsia="Consolas" w:hAnsi="Consolas"/>
          <w:i/>
          <w:iCs/>
          <w:color w:val="333333"/>
          <w:sz w:val="19"/>
          <w:szCs w:val="19"/>
        </w:rPr>
        <w:t xml:space="preserve">C1(V1) = 32.0 + 105.8 + 50.0 + 30.0 = €217.8M</w:t>
      </w:r>
    </w:p>
    <w:p>
      <w:pPr>
        <w:spacing w:before="200" w:after="120"/>
      </w:pPr>
      <w:r>
        <w:rPr>
          <w:rFonts w:ascii="Arial" w:cs="Arial" w:eastAsia="Arial" w:hAnsi="Arial"/>
          <w:b/>
          <w:bCs/>
          <w:color w:val="3A6BA5"/>
          <w:sz w:val="22"/>
          <w:szCs w:val="22"/>
        </w:rPr>
        <w:t xml:space="preserve">C₂ – Opportunity Cost</w:t>
      </w:r>
    </w:p>
    <w:p>
      <w:pPr>
        <w:spacing w:after="160"/>
        <w:jc w:val="both"/>
      </w:pPr>
      <w:r>
        <w:rPr>
          <w:rFonts w:ascii="Arial" w:cs="Arial" w:eastAsia="Arial" w:hAnsi="Arial"/>
          <w:b w:val="false"/>
          <w:bCs w:val="false"/>
          <w:i w:val="false"/>
          <w:iCs w:val="false"/>
          <w:sz w:val="20"/>
          <w:szCs w:val="20"/>
        </w:rPr>
        <w:t xml:space="preserve">Expected civilian wage: €1,755/mo (assumption A1). Skill retention offset: 5%.</w:t>
      </w:r>
    </w:p>
    <w:p>
      <w:pPr>
        <w:spacing w:before="80" w:after="80"/>
        <w:ind w:left="720"/>
      </w:pPr>
      <w:r>
        <w:rPr>
          <w:rFonts w:ascii="Consolas" w:cs="Consolas" w:eastAsia="Consolas" w:hAnsi="Consolas"/>
          <w:i/>
          <w:iCs/>
          <w:color w:val="333333"/>
          <w:sz w:val="19"/>
          <w:szCs w:val="19"/>
        </w:rPr>
        <w:t xml:space="preserve">C2(V1) = 14,700 × 6 × 1,755 × (1 - 0.05) = 14,700 × 6 × 1,667 = €147.0M</w:t>
      </w:r>
    </w:p>
    <w:p>
      <w:pPr>
        <w:spacing w:before="200" w:after="120"/>
      </w:pPr>
      <w:r>
        <w:rPr>
          <w:rFonts w:ascii="Arial" w:cs="Arial" w:eastAsia="Arial" w:hAnsi="Arial"/>
          <w:b/>
          <w:bCs/>
          <w:color w:val="3A6BA5"/>
          <w:sz w:val="22"/>
          <w:szCs w:val="22"/>
        </w:rPr>
        <w:t xml:space="preserve">C₃ – Productivity Losses</w:t>
      </w:r>
    </w:p>
    <w:p>
      <w:pPr>
        <w:spacing w:after="160"/>
        <w:jc w:val="both"/>
      </w:pPr>
      <w:r>
        <w:rPr>
          <w:rFonts w:ascii="Arial" w:cs="Arial" w:eastAsia="Arial" w:hAnsi="Arial"/>
          <w:b w:val="false"/>
          <w:bCs w:val="false"/>
          <w:i w:val="false"/>
          <w:iCs w:val="false"/>
          <w:sz w:val="20"/>
          <w:szCs w:val="20"/>
        </w:rPr>
        <w:t xml:space="preserve">Including employer social contributions (λ = 1.30):</w:t>
      </w:r>
    </w:p>
    <w:p>
      <w:pPr>
        <w:spacing w:before="80" w:after="80"/>
        <w:ind w:left="720"/>
      </w:pPr>
      <w:r>
        <w:rPr>
          <w:rFonts w:ascii="Consolas" w:cs="Consolas" w:eastAsia="Consolas" w:hAnsi="Consolas"/>
          <w:i/>
          <w:iCs/>
          <w:color w:val="333333"/>
          <w:sz w:val="19"/>
          <w:szCs w:val="19"/>
        </w:rPr>
        <w:t xml:space="preserve">C3(V1) = 14,700 × 6 × 1,755 × 1.30 × 0.95 = €191.1M</w:t>
      </w:r>
    </w:p>
    <w:p>
      <w:pPr>
        <w:spacing w:after="160"/>
        <w:jc w:val="both"/>
      </w:pPr>
      <w:r>
        <w:rPr>
          <w:rFonts w:ascii="Arial" w:cs="Arial" w:eastAsia="Arial" w:hAnsi="Arial"/>
          <w:b w:val="false"/>
          <w:bCs w:val="false"/>
          <w:i w:val="false"/>
          <w:iCs w:val="false"/>
          <w:sz w:val="20"/>
          <w:szCs w:val="20"/>
        </w:rPr>
        <w:t xml:space="preserve">Note: C₂ and C₃ overlap partially. To avoid double-counting, we take the larger (productivity loss to the economy) and attribute the difference (€44.1M) to employer surplus loss. Net unique social cost from these two channels: €191.1M.</w:t>
      </w:r>
    </w:p>
    <w:p>
      <w:pPr>
        <w:spacing w:before="200" w:after="120"/>
      </w:pPr>
      <w:r>
        <w:rPr>
          <w:rFonts w:ascii="Arial" w:cs="Arial" w:eastAsia="Arial" w:hAnsi="Arial"/>
          <w:b/>
          <w:bCs/>
          <w:color w:val="3A6BA5"/>
          <w:sz w:val="22"/>
          <w:szCs w:val="22"/>
        </w:rPr>
        <w:t xml:space="preserve">C₄ – Long-Term Earnings Effects</w:t>
      </w:r>
    </w:p>
    <w:p>
      <w:pPr>
        <w:spacing w:after="160"/>
        <w:jc w:val="both"/>
      </w:pPr>
      <w:r>
        <w:rPr>
          <w:rFonts w:ascii="Arial" w:cs="Arial" w:eastAsia="Arial" w:hAnsi="Arial"/>
          <w:b w:val="false"/>
          <w:bCs w:val="false"/>
          <w:i w:val="false"/>
          <w:iCs w:val="false"/>
          <w:sz w:val="20"/>
          <w:szCs w:val="20"/>
        </w:rPr>
        <w:t xml:space="preserve">Mincerian loss per conscript: 0.04 (return to experience) × €1,950 × 0.5 years × PV(42 years at 3%) = 0.04 × 1,950 × 0.5 × 23.7 = €924 per conscript.</w:t>
      </w:r>
    </w:p>
    <w:p>
      <w:pPr>
        <w:spacing w:after="160"/>
        <w:jc w:val="both"/>
      </w:pPr>
      <w:r>
        <w:rPr>
          <w:rFonts w:ascii="Arial" w:cs="Arial" w:eastAsia="Arial" w:hAnsi="Arial"/>
          <w:b w:val="false"/>
          <w:bCs w:val="false"/>
          <w:i w:val="false"/>
          <w:iCs w:val="false"/>
          <w:sz w:val="20"/>
          <w:szCs w:val="20"/>
        </w:rPr>
        <w:t xml:space="preserve">Additional education delay cost (for ~40% who would enter university): 0.40 × 14,700 × €2,500 (est. NPV of delayed degree premium) = €14.7M.</w:t>
      </w:r>
    </w:p>
    <w:p>
      <w:pPr>
        <w:spacing w:before="80" w:after="80"/>
        <w:ind w:left="720"/>
      </w:pPr>
      <w:r>
        <w:rPr>
          <w:rFonts w:ascii="Consolas" w:cs="Consolas" w:eastAsia="Consolas" w:hAnsi="Consolas"/>
          <w:i/>
          <w:iCs/>
          <w:color w:val="333333"/>
          <w:sz w:val="19"/>
          <w:szCs w:val="19"/>
        </w:rPr>
        <w:t xml:space="preserve">C4(V1) = 14,700 × 924 + 14,700 × 0.40 × 2,500 = 13.6 + 14.7 = €28.3M</w:t>
      </w:r>
    </w:p>
    <w:p>
      <w:pPr>
        <w:spacing w:before="200" w:after="120"/>
      </w:pPr>
      <w:r>
        <w:rPr>
          <w:rFonts w:ascii="Arial" w:cs="Arial" w:eastAsia="Arial" w:hAnsi="Arial"/>
          <w:b/>
          <w:bCs/>
          <w:color w:val="3A6BA5"/>
          <w:sz w:val="22"/>
          <w:szCs w:val="22"/>
        </w:rPr>
        <w:t xml:space="preserve">C₅ – Administrative &amp; Training Costs</w:t>
      </w:r>
    </w:p>
    <w:p>
      <w:pPr>
        <w:spacing w:after="160"/>
        <w:jc w:val="both"/>
      </w:pPr>
      <w:r>
        <w:rPr>
          <w:rFonts w:ascii="Arial" w:cs="Arial" w:eastAsia="Arial" w:hAnsi="Arial"/>
          <w:b w:val="false"/>
          <w:bCs w:val="false"/>
          <w:i w:val="false"/>
          <w:iCs w:val="false"/>
          <w:sz w:val="20"/>
          <w:szCs w:val="20"/>
        </w:rPr>
        <w:t xml:space="preserve">Recruitment processing for ~48,000 (Stellung): included in C₁.</w:t>
      </w:r>
    </w:p>
    <w:p>
      <w:pPr>
        <w:spacing w:after="160"/>
        <w:jc w:val="both"/>
      </w:pPr>
      <w:r>
        <w:rPr>
          <w:rFonts w:ascii="Arial" w:cs="Arial" w:eastAsia="Arial" w:hAnsi="Arial"/>
          <w:b w:val="false"/>
          <w:bCs w:val="false"/>
          <w:i w:val="false"/>
          <w:iCs w:val="false"/>
          <w:sz w:val="20"/>
          <w:szCs w:val="20"/>
        </w:rPr>
        <w:t xml:space="preserve">Basic training instructors (est. 2,000 cadre dedicated): 2,000 × 12 × €4,000 = €96M (partially counted in professional soldier budget).</w:t>
      </w:r>
    </w:p>
    <w:p>
      <w:pPr>
        <w:spacing w:after="160"/>
        <w:jc w:val="both"/>
      </w:pPr>
      <w:r>
        <w:rPr>
          <w:rFonts w:ascii="Arial" w:cs="Arial" w:eastAsia="Arial" w:hAnsi="Arial"/>
          <w:b w:val="false"/>
          <w:bCs w:val="false"/>
          <w:i w:val="false"/>
          <w:iCs w:val="false"/>
          <w:sz w:val="20"/>
          <w:szCs w:val="20"/>
        </w:rPr>
        <w:t xml:space="preserve">Incremental training cost attributable to conscription system: €60M.</w:t>
      </w:r>
    </w:p>
    <w:p>
      <w:pPr>
        <w:spacing w:before="80" w:after="80"/>
        <w:ind w:left="720"/>
      </w:pPr>
      <w:r>
        <w:rPr>
          <w:rFonts w:ascii="Consolas" w:cs="Consolas" w:eastAsia="Consolas" w:hAnsi="Consolas"/>
          <w:i/>
          <w:iCs/>
          <w:color w:val="333333"/>
          <w:sz w:val="19"/>
          <w:szCs w:val="19"/>
        </w:rPr>
        <w:t xml:space="preserve">C5(V1) = €60.0M</w:t>
      </w:r>
    </w:p>
    <w:p>
      <w:pPr>
        <w:spacing w:after="160"/>
        <w:jc w:val="both"/>
      </w:pPr>
      <w:r>
        <w:rPr>
          <w:rFonts w:ascii="Arial" w:cs="Arial" w:eastAsia="Arial" w:hAnsi="Arial"/>
          <w:b/>
          <w:bCs/>
          <w:sz w:val="20"/>
          <w:szCs w:val="20"/>
        </w:rPr>
        <w:t xml:space="preserve">Total Social Cost V1: </w:t>
      </w:r>
      <w:r>
        <w:rPr>
          <w:rFonts w:ascii="Arial" w:cs="Arial" w:eastAsia="Arial" w:hAnsi="Arial"/>
          <w:sz w:val="20"/>
          <w:szCs w:val="20"/>
        </w:rPr>
        <w:t xml:space="preserve">€217.8 + 191.1 + 28.3 + 60.0 = €497.2M per year</w:t>
      </w:r>
    </w:p>
    <w:p>
      <w:pPr>
        <w:spacing w:after="160"/>
        <w:jc w:val="both"/>
      </w:pPr>
      <w:r>
        <w:rPr>
          <w:rFonts w:ascii="Arial" w:cs="Arial" w:eastAsia="Arial" w:hAnsi="Arial"/>
          <w:b w:val="false"/>
          <w:bCs w:val="false"/>
          <w:i w:val="false"/>
          <w:iCs w:val="false"/>
          <w:sz w:val="20"/>
          <w:szCs w:val="20"/>
        </w:rPr>
        <w:t xml:space="preserve">(Note: We use C₃ as the consolidated opportunity/productivity cost to avoid double-counting C₂.)</w:t>
      </w:r>
    </w:p>
    <w:p>
      <w:pPr>
        <w:spacing w:after="160"/>
        <w:jc w:val="both"/>
      </w:pPr>
      <w:r>
        <w:rPr>
          <w:rFonts w:ascii="Arial" w:cs="Arial" w:eastAsia="Arial" w:hAnsi="Arial"/>
          <w:b w:val="false"/>
          <w:bCs w:val="false"/>
          <w:i w:val="false"/>
          <w:iCs w:val="false"/>
          <w:sz w:val="20"/>
          <w:szCs w:val="20"/>
        </w:rPr>
        <w:t xml:space="preserve">Per-cohort cost (14,700 conscripts): €33,823 per conscript-served</w:t>
      </w:r>
    </w:p>
    <w:p>
      <w:pPr>
        <w:spacing w:after="160"/>
        <w:jc w:val="both"/>
      </w:pPr>
      <w:r>
        <w:rPr>
          <w:rFonts w:ascii="Arial" w:cs="Arial" w:eastAsia="Arial" w:hAnsi="Arial"/>
          <w:b w:val="false"/>
          <w:bCs w:val="false"/>
          <w:i w:val="false"/>
          <w:iCs w:val="false"/>
          <w:sz w:val="20"/>
          <w:szCs w:val="20"/>
        </w:rPr>
        <w:t xml:space="preserve">Cost per effective soldier-year: Conscripts serve 6 months, of which ~4 months are operationally useful (first 2 months are basic training). Effective soldier-years = 14,700 × (4/12) = 4,900. Cost per effective soldier-year: €497.2M / 4,900 = €101,469.</w:t>
      </w:r>
    </w:p>
    <w:p>
      <w:r>
        <w:br w:type="page"/>
      </w:r>
    </w:p>
    <w:p>
      <w:pPr>
        <w:pStyle w:val="Heading2"/>
        <w:spacing w:before="280" w:after="160"/>
      </w:pPr>
      <w:r>
        <w:rPr>
          <w:rFonts w:ascii="Arial" w:cs="Arial" w:eastAsia="Arial" w:hAnsi="Arial"/>
          <w:b/>
          <w:bCs/>
          <w:color w:val="2E5090"/>
          <w:sz w:val="26"/>
          <w:szCs w:val="26"/>
        </w:rPr>
        <w:t xml:space="preserve">5.2 Variant 2: Extended Conscription (9 months)</w:t>
      </w:r>
    </w:p>
    <w:p>
      <w:pPr>
        <w:spacing w:after="160"/>
        <w:jc w:val="both"/>
      </w:pPr>
      <w:r>
        <w:rPr>
          <w:rFonts w:ascii="Arial" w:cs="Arial" w:eastAsia="Arial" w:hAnsi="Arial"/>
          <w:b w:val="false"/>
          <w:bCs w:val="false"/>
          <w:i w:val="false"/>
          <w:iCs w:val="false"/>
          <w:sz w:val="20"/>
          <w:szCs w:val="20"/>
        </w:rPr>
        <w:t xml:space="preserve">Extending to 9 months increases all duration-dependent costs by 50%.</w:t>
      </w:r>
    </w:p>
    <w:p>
      <w:pPr>
        <w:spacing w:before="80" w:after="80"/>
        <w:ind w:left="720"/>
      </w:pPr>
      <w:r>
        <w:rPr>
          <w:rFonts w:ascii="Consolas" w:cs="Consolas" w:eastAsia="Consolas" w:hAnsi="Consolas"/>
          <w:i/>
          <w:iCs/>
          <w:color w:val="333333"/>
          <w:sz w:val="19"/>
          <w:szCs w:val="19"/>
        </w:rPr>
        <w:t xml:space="preserve">C1(V2) = 14,700 × 9 × (363 + 1,200) + 50 + 30 = €210.0 + 80.0 = €290.0M</w:t>
      </w:r>
    </w:p>
    <w:p>
      <w:pPr>
        <w:spacing w:before="80" w:after="80"/>
        <w:ind w:left="720"/>
      </w:pPr>
      <w:r>
        <w:rPr>
          <w:rFonts w:ascii="Consolas" w:cs="Consolas" w:eastAsia="Consolas" w:hAnsi="Consolas"/>
          <w:i/>
          <w:iCs/>
          <w:color w:val="333333"/>
          <w:sz w:val="19"/>
          <w:szCs w:val="19"/>
        </w:rPr>
        <w:t xml:space="preserve">C2/C3(V2) = 14,700 × 9 × 1,755 × 1.30 × 0.95 = €286.7M</w:t>
      </w:r>
    </w:p>
    <w:p>
      <w:pPr>
        <w:spacing w:after="160"/>
        <w:jc w:val="both"/>
      </w:pPr>
      <w:r>
        <w:rPr>
          <w:rFonts w:ascii="Arial" w:cs="Arial" w:eastAsia="Arial" w:hAnsi="Arial"/>
          <w:b w:val="false"/>
          <w:bCs w:val="false"/>
          <w:i w:val="false"/>
          <w:iCs w:val="false"/>
          <w:sz w:val="20"/>
          <w:szCs w:val="20"/>
        </w:rPr>
        <w:t xml:space="preserve">Long-term: C₄(V2) = 14,700 × (0.04 × 1,950 × 0.75 × 23.7) + 14,700 × 0.40 × 3,750 = 20.4 + 22.1 = €42.5M</w:t>
      </w:r>
    </w:p>
    <w:p>
      <w:pPr>
        <w:spacing w:before="80" w:after="80"/>
        <w:ind w:left="720"/>
      </w:pPr>
      <w:r>
        <w:rPr>
          <w:rFonts w:ascii="Consolas" w:cs="Consolas" w:eastAsia="Consolas" w:hAnsi="Consolas"/>
          <w:i/>
          <w:iCs/>
          <w:color w:val="333333"/>
          <w:sz w:val="19"/>
          <w:szCs w:val="19"/>
        </w:rPr>
        <w:t xml:space="preserve">C5(V2) = €70M (longer training cycle)</w:t>
      </w:r>
    </w:p>
    <w:p>
      <w:pPr>
        <w:spacing w:after="160"/>
        <w:jc w:val="both"/>
      </w:pPr>
      <w:r>
        <w:rPr>
          <w:rFonts w:ascii="Arial" w:cs="Arial" w:eastAsia="Arial" w:hAnsi="Arial"/>
          <w:b/>
          <w:bCs/>
          <w:sz w:val="20"/>
          <w:szCs w:val="20"/>
        </w:rPr>
        <w:t xml:space="preserve">Total Social Cost V2: </w:t>
      </w:r>
      <w:r>
        <w:rPr>
          <w:rFonts w:ascii="Arial" w:cs="Arial" w:eastAsia="Arial" w:hAnsi="Arial"/>
          <w:sz w:val="20"/>
          <w:szCs w:val="20"/>
        </w:rPr>
        <w:t xml:space="preserve">€290.0 + 286.7 + 42.5 + 70.0 = €689.2M per year</w:t>
      </w:r>
    </w:p>
    <w:p>
      <w:pPr>
        <w:spacing w:after="160"/>
        <w:jc w:val="both"/>
      </w:pPr>
      <w:r>
        <w:rPr>
          <w:rFonts w:ascii="Arial" w:cs="Arial" w:eastAsia="Arial" w:hAnsi="Arial"/>
          <w:b w:val="false"/>
          <w:bCs w:val="false"/>
          <w:i w:val="false"/>
          <w:iCs w:val="false"/>
          <w:sz w:val="20"/>
          <w:szCs w:val="20"/>
        </w:rPr>
        <w:t xml:space="preserve">Effective soldier-years: 14,700 × (7/12) = 8,575. Cost per effective soldier-year: €80,373.</w:t>
      </w:r>
    </w:p>
    <w:p>
      <w:pPr>
        <w:pStyle w:val="Heading2"/>
        <w:spacing w:before="280" w:after="160"/>
      </w:pPr>
      <w:r>
        <w:rPr>
          <w:rFonts w:ascii="Arial" w:cs="Arial" w:eastAsia="Arial" w:hAnsi="Arial"/>
          <w:b/>
          <w:bCs/>
          <w:color w:val="2E5090"/>
          <w:sz w:val="26"/>
          <w:szCs w:val="26"/>
        </w:rPr>
        <w:t xml:space="preserve">5.3 Variant 3: Conscription with Higher Pay (€1,200/month)</w:t>
      </w:r>
    </w:p>
    <w:p>
      <w:pPr>
        <w:spacing w:after="160"/>
        <w:jc w:val="both"/>
      </w:pPr>
      <w:r>
        <w:rPr>
          <w:rFonts w:ascii="Arial" w:cs="Arial" w:eastAsia="Arial" w:hAnsi="Arial"/>
          <w:b w:val="false"/>
          <w:bCs w:val="false"/>
          <w:i w:val="false"/>
          <w:iCs w:val="false"/>
          <w:sz w:val="20"/>
          <w:szCs w:val="20"/>
        </w:rPr>
        <w:t xml:space="preserve">Tripling conscript pay to €1,200/month reduces the implicit tax but raises fiscal costs.</w:t>
      </w:r>
    </w:p>
    <w:p>
      <w:pPr>
        <w:spacing w:before="80" w:after="80"/>
        <w:ind w:left="720"/>
      </w:pPr>
      <w:r>
        <w:rPr>
          <w:rFonts w:ascii="Consolas" w:cs="Consolas" w:eastAsia="Consolas" w:hAnsi="Consolas"/>
          <w:i/>
          <w:iCs/>
          <w:color w:val="333333"/>
          <w:sz w:val="19"/>
          <w:szCs w:val="19"/>
        </w:rPr>
        <w:t xml:space="preserve">C1(V3) = 14,700 × 6 × (1,200 + 1,200) + 80 = €291.6M</w:t>
      </w:r>
    </w:p>
    <w:p>
      <w:pPr>
        <w:spacing w:after="160"/>
        <w:jc w:val="both"/>
      </w:pPr>
      <w:r>
        <w:rPr>
          <w:rFonts w:ascii="Arial" w:cs="Arial" w:eastAsia="Arial" w:hAnsi="Arial"/>
          <w:b w:val="false"/>
          <w:bCs w:val="false"/>
          <w:i w:val="false"/>
          <w:iCs w:val="false"/>
          <w:sz w:val="20"/>
          <w:szCs w:val="20"/>
        </w:rPr>
        <w:t xml:space="preserve">Opportunity cost is partially offset: net C₂/C₃ = 14,700 × 6 × (1,755 - 1,200) × 1.30 = €63.6M for residual productivity loss, plus employer costs: total €127.4M.</w:t>
      </w:r>
    </w:p>
    <w:p>
      <w:pPr>
        <w:spacing w:before="80" w:after="80"/>
        <w:ind w:left="720"/>
      </w:pPr>
      <w:r>
        <w:rPr>
          <w:rFonts w:ascii="Consolas" w:cs="Consolas" w:eastAsia="Consolas" w:hAnsi="Consolas"/>
          <w:i/>
          <w:iCs/>
          <w:color w:val="333333"/>
          <w:sz w:val="19"/>
          <w:szCs w:val="19"/>
        </w:rPr>
        <w:t xml:space="preserve">C4(V3) = €28.3M (unchanged—pay doesn’t fix human capital disruption)</w:t>
      </w:r>
    </w:p>
    <w:p>
      <w:pPr>
        <w:spacing w:before="80" w:after="80"/>
        <w:ind w:left="720"/>
      </w:pPr>
      <w:r>
        <w:rPr>
          <w:rFonts w:ascii="Consolas" w:cs="Consolas" w:eastAsia="Consolas" w:hAnsi="Consolas"/>
          <w:i/>
          <w:iCs/>
          <w:color w:val="333333"/>
          <w:sz w:val="19"/>
          <w:szCs w:val="19"/>
        </w:rPr>
        <w:t xml:space="preserve">C5(V3) = €60.0M</w:t>
      </w:r>
    </w:p>
    <w:p>
      <w:pPr>
        <w:spacing w:after="160"/>
        <w:jc w:val="both"/>
      </w:pPr>
      <w:r>
        <w:rPr>
          <w:rFonts w:ascii="Arial" w:cs="Arial" w:eastAsia="Arial" w:hAnsi="Arial"/>
          <w:b/>
          <w:bCs/>
          <w:sz w:val="20"/>
          <w:szCs w:val="20"/>
        </w:rPr>
        <w:t xml:space="preserve">Total Social Cost V3: </w:t>
      </w:r>
      <w:r>
        <w:rPr>
          <w:rFonts w:ascii="Arial" w:cs="Arial" w:eastAsia="Arial" w:hAnsi="Arial"/>
          <w:sz w:val="20"/>
          <w:szCs w:val="20"/>
        </w:rPr>
        <w:t xml:space="preserve">€291.6 + 127.4 + 28.3 + 60.0 = €507.3M per year</w:t>
      </w:r>
    </w:p>
    <w:p>
      <w:pPr>
        <w:spacing w:after="160"/>
        <w:jc w:val="both"/>
      </w:pPr>
      <w:r>
        <w:rPr>
          <w:rFonts w:ascii="Arial" w:cs="Arial" w:eastAsia="Arial" w:hAnsi="Arial"/>
          <w:b w:val="false"/>
          <w:bCs w:val="false"/>
          <w:i w:val="false"/>
          <w:iCs w:val="false"/>
          <w:sz w:val="20"/>
          <w:szCs w:val="20"/>
        </w:rPr>
        <w:t xml:space="preserve">Cost per effective soldier-year: €507.3M / 4,900 = €103,531. Higher pay shifts costs from conscripts to taxpayers but barely changes total social cost.</w:t>
      </w:r>
    </w:p>
    <w:p>
      <w:r>
        <w:br w:type="page"/>
      </w:r>
    </w:p>
    <w:p>
      <w:pPr>
        <w:pStyle w:val="Heading2"/>
        <w:spacing w:before="280" w:after="160"/>
      </w:pPr>
      <w:r>
        <w:rPr>
          <w:rFonts w:ascii="Arial" w:cs="Arial" w:eastAsia="Arial" w:hAnsi="Arial"/>
          <w:b/>
          <w:bCs/>
          <w:color w:val="2E5090"/>
          <w:sz w:val="26"/>
          <w:szCs w:val="26"/>
        </w:rPr>
        <w:t xml:space="preserve">5.4 Variant 4: Baseline Market-Wage AVF</w:t>
      </w:r>
    </w:p>
    <w:p>
      <w:pPr>
        <w:spacing w:after="160"/>
        <w:jc w:val="both"/>
      </w:pPr>
      <w:r>
        <w:rPr>
          <w:rFonts w:ascii="Arial" w:cs="Arial" w:eastAsia="Arial" w:hAnsi="Arial"/>
          <w:b w:val="false"/>
          <w:bCs w:val="false"/>
          <w:i w:val="false"/>
          <w:iCs w:val="false"/>
          <w:sz w:val="20"/>
          <w:szCs w:val="20"/>
        </w:rPr>
        <w:t xml:space="preserve">Target: 16,000 active professionals. Annual intake: 2,000 (assuming 8-year avg career). No conscription system.</w:t>
      </w:r>
    </w:p>
    <w:p>
      <w:pPr>
        <w:spacing w:before="80" w:after="80"/>
        <w:ind w:left="720"/>
      </w:pPr>
      <w:r>
        <w:rPr>
          <w:rFonts w:ascii="Consolas" w:cs="Consolas" w:eastAsia="Consolas" w:hAnsi="Consolas"/>
          <w:i/>
          <w:iCs/>
          <w:color w:val="333333"/>
          <w:sz w:val="19"/>
          <w:szCs w:val="19"/>
        </w:rPr>
        <w:t xml:space="preserve">C1(V4) = 16,000 × 12 × (2,500 + 1,800) = €825.6M</w:t>
      </w:r>
    </w:p>
    <w:p>
      <w:pPr>
        <w:spacing w:after="160"/>
        <w:jc w:val="both"/>
      </w:pPr>
      <w:r>
        <w:rPr>
          <w:rFonts w:ascii="Arial" w:cs="Arial" w:eastAsia="Arial" w:hAnsi="Arial"/>
          <w:b w:val="false"/>
          <w:bCs w:val="false"/>
          <w:i w:val="false"/>
          <w:iCs w:val="false"/>
          <w:sz w:val="20"/>
          <w:szCs w:val="20"/>
        </w:rPr>
        <w:t xml:space="preserve">Opportunity cost: Volunteers self-select; their civilian alternative is roughly €2,100/mo (lower than the offered €2,500, reflecting compensating differential). Net C₂ is internal to their decision and not a deadweight loss.</w:t>
      </w:r>
    </w:p>
    <w:p>
      <w:pPr>
        <w:spacing w:before="80" w:after="80"/>
        <w:ind w:left="720"/>
      </w:pPr>
      <w:r>
        <w:rPr>
          <w:rFonts w:ascii="Consolas" w:cs="Consolas" w:eastAsia="Consolas" w:hAnsi="Consolas"/>
          <w:i/>
          <w:iCs/>
          <w:color w:val="333333"/>
          <w:sz w:val="19"/>
          <w:szCs w:val="19"/>
        </w:rPr>
        <w:t xml:space="preserve">C2(V4) = 0 (internalised in wage—no involuntary participation)</w:t>
      </w:r>
    </w:p>
    <w:p>
      <w:pPr>
        <w:spacing w:after="160"/>
        <w:jc w:val="both"/>
      </w:pPr>
      <w:r>
        <w:rPr>
          <w:rFonts w:ascii="Arial" w:cs="Arial" w:eastAsia="Arial" w:hAnsi="Arial"/>
          <w:b w:val="false"/>
          <w:bCs w:val="false"/>
          <w:i w:val="false"/>
          <w:iCs w:val="false"/>
          <w:sz w:val="20"/>
          <w:szCs w:val="20"/>
        </w:rPr>
        <w:t xml:space="preserve">Productivity loss: Smaller than conscription because (a) fewer people, (b) longer service means less churn, (c) self-selection means lower-productivity civilian workers join.</w:t>
      </w:r>
    </w:p>
    <w:p>
      <w:pPr>
        <w:spacing w:before="80" w:after="80"/>
        <w:ind w:left="720"/>
      </w:pPr>
      <w:r>
        <w:rPr>
          <w:rFonts w:ascii="Consolas" w:cs="Consolas" w:eastAsia="Consolas" w:hAnsi="Consolas"/>
          <w:i/>
          <w:iCs/>
          <w:color w:val="333333"/>
          <w:sz w:val="19"/>
          <w:szCs w:val="19"/>
        </w:rPr>
        <w:t xml:space="preserve">C3(V4) = 16,000 × 12 × 2,100 × 0.10 (marginal loss factor) = €40.3M</w:t>
      </w:r>
    </w:p>
    <w:p>
      <w:pPr>
        <w:spacing w:after="160"/>
        <w:jc w:val="both"/>
      </w:pPr>
      <w:r>
        <w:rPr>
          <w:rFonts w:ascii="Arial" w:cs="Arial" w:eastAsia="Arial" w:hAnsi="Arial"/>
          <w:b w:val="false"/>
          <w:bCs w:val="false"/>
          <w:i w:val="false"/>
          <w:iCs w:val="false"/>
          <w:sz w:val="20"/>
          <w:szCs w:val="20"/>
        </w:rPr>
        <w:t xml:space="preserve">Long-term earnings: Professional soldiers accumulate military human capital; career soldiers face transition costs at exit but earn pensions. Estimated net: €15M.</w:t>
      </w:r>
    </w:p>
    <w:p>
      <w:pPr>
        <w:spacing w:before="80" w:after="80"/>
        <w:ind w:left="720"/>
      </w:pPr>
      <w:r>
        <w:rPr>
          <w:rFonts w:ascii="Consolas" w:cs="Consolas" w:eastAsia="Consolas" w:hAnsi="Consolas"/>
          <w:i/>
          <w:iCs/>
          <w:color w:val="333333"/>
          <w:sz w:val="19"/>
          <w:szCs w:val="19"/>
        </w:rPr>
        <w:t xml:space="preserve">C5(V4) = 2,000 × €25,000 (intensive recruit training) + €40M fixed = €90M</w:t>
      </w:r>
    </w:p>
    <w:p>
      <w:pPr>
        <w:spacing w:after="160"/>
        <w:jc w:val="both"/>
      </w:pPr>
      <w:r>
        <w:rPr>
          <w:rFonts w:ascii="Arial" w:cs="Arial" w:eastAsia="Arial" w:hAnsi="Arial"/>
          <w:b/>
          <w:bCs/>
          <w:sz w:val="20"/>
          <w:szCs w:val="20"/>
        </w:rPr>
        <w:t xml:space="preserve">Total Social Cost V4: </w:t>
      </w:r>
      <w:r>
        <w:rPr>
          <w:rFonts w:ascii="Arial" w:cs="Arial" w:eastAsia="Arial" w:hAnsi="Arial"/>
          <w:sz w:val="20"/>
          <w:szCs w:val="20"/>
        </w:rPr>
        <w:t xml:space="preserve">€825.6 + 40.3 + 15.0 + 90.0 = €970.9M per year</w:t>
      </w:r>
    </w:p>
    <w:p>
      <w:pPr>
        <w:spacing w:after="160"/>
        <w:jc w:val="both"/>
      </w:pPr>
      <w:r>
        <w:rPr>
          <w:rFonts w:ascii="Arial" w:cs="Arial" w:eastAsia="Arial" w:hAnsi="Arial"/>
          <w:b w:val="false"/>
          <w:bCs w:val="false"/>
          <w:i w:val="false"/>
          <w:iCs w:val="false"/>
          <w:sz w:val="20"/>
          <w:szCs w:val="20"/>
        </w:rPr>
        <w:t xml:space="preserve">Effective soldier-years: 16,000 × 1.0 = 16,000. Cost per effective soldier-year: €60,681.</w:t>
      </w:r>
    </w:p>
    <w:p>
      <w:pPr>
        <w:spacing w:after="160"/>
        <w:jc w:val="both"/>
      </w:pPr>
      <w:r>
        <w:rPr>
          <w:rFonts w:ascii="Arial" w:cs="Arial" w:eastAsia="Arial" w:hAnsi="Arial"/>
          <w:b w:val="false"/>
          <w:bCs w:val="false"/>
          <w:i w:val="false"/>
          <w:iCs w:val="false"/>
          <w:sz w:val="20"/>
          <w:szCs w:val="20"/>
        </w:rPr>
        <w:t xml:space="preserve">Although the fiscal cost is much higher, the total social cost per effective soldier-year is 40% lower than current conscription because deadweight losses are eliminated.</w:t>
      </w:r>
    </w:p>
    <w:p>
      <w:pPr>
        <w:pStyle w:val="Heading2"/>
        <w:spacing w:before="280" w:after="160"/>
      </w:pPr>
      <w:r>
        <w:rPr>
          <w:rFonts w:ascii="Arial" w:cs="Arial" w:eastAsia="Arial" w:hAnsi="Arial"/>
          <w:b/>
          <w:bCs/>
          <w:color w:val="2E5090"/>
          <w:sz w:val="26"/>
          <w:szCs w:val="26"/>
        </w:rPr>
        <w:t xml:space="preserve">5.5 Variant 5: High-Incentive AVF</w:t>
      </w:r>
    </w:p>
    <w:p>
      <w:pPr>
        <w:spacing w:after="160"/>
        <w:jc w:val="both"/>
      </w:pPr>
      <w:r>
        <w:rPr>
          <w:rFonts w:ascii="Arial" w:cs="Arial" w:eastAsia="Arial" w:hAnsi="Arial"/>
          <w:b w:val="false"/>
          <w:bCs w:val="false"/>
          <w:i w:val="false"/>
          <w:iCs w:val="false"/>
          <w:sz w:val="20"/>
          <w:szCs w:val="20"/>
        </w:rPr>
        <w:t xml:space="preserve">Higher wages (€3,000/mo) plus €10,000 signing bonus and €15,000 education benefit per recruit. This improves recruit quality and retention.</w:t>
      </w:r>
    </w:p>
    <w:p>
      <w:pPr>
        <w:spacing w:before="80" w:after="80"/>
        <w:ind w:left="720"/>
      </w:pPr>
      <w:r>
        <w:rPr>
          <w:rFonts w:ascii="Consolas" w:cs="Consolas" w:eastAsia="Consolas" w:hAnsi="Consolas"/>
          <w:i/>
          <w:iCs/>
          <w:color w:val="333333"/>
          <w:sz w:val="19"/>
          <w:szCs w:val="19"/>
        </w:rPr>
        <w:t xml:space="preserve">C1(V5) = 16,000 × 12 × (3,000 + 1,800) + 2,000 × 25,000 = €921.6 + 50.0 = €971.6M</w:t>
      </w:r>
    </w:p>
    <w:p>
      <w:pPr>
        <w:spacing w:after="160"/>
        <w:jc w:val="both"/>
      </w:pPr>
      <w:r>
        <w:rPr>
          <w:rFonts w:ascii="Arial" w:cs="Arial" w:eastAsia="Arial" w:hAnsi="Arial"/>
          <w:b w:val="false"/>
          <w:bCs w:val="false"/>
          <w:i w:val="false"/>
          <w:iCs w:val="false"/>
          <w:sz w:val="20"/>
          <w:szCs w:val="20"/>
        </w:rPr>
        <w:t xml:space="preserve">Better retention reduces annual intake to ~1,600 (10-year avg career), lowering training costs.</w:t>
      </w:r>
    </w:p>
    <w:p>
      <w:pPr>
        <w:spacing w:before="80" w:after="80"/>
        <w:ind w:left="720"/>
      </w:pPr>
      <w:r>
        <w:rPr>
          <w:rFonts w:ascii="Consolas" w:cs="Consolas" w:eastAsia="Consolas" w:hAnsi="Consolas"/>
          <w:i/>
          <w:iCs/>
          <w:color w:val="333333"/>
          <w:sz w:val="19"/>
          <w:szCs w:val="19"/>
        </w:rPr>
        <w:t xml:space="preserve">C5(V5) = 1,600 × €25,000 + €40M = €80M</w:t>
      </w:r>
    </w:p>
    <w:p>
      <w:pPr>
        <w:spacing w:before="80" w:after="80"/>
        <w:ind w:left="720"/>
      </w:pPr>
      <w:r>
        <w:rPr>
          <w:rFonts w:ascii="Consolas" w:cs="Consolas" w:eastAsia="Consolas" w:hAnsi="Consolas"/>
          <w:i/>
          <w:iCs/>
          <w:color w:val="333333"/>
          <w:sz w:val="19"/>
          <w:szCs w:val="19"/>
        </w:rPr>
        <w:t xml:space="preserve">C3(V5) = €35M (better self-selection, lower civilian opportunity cost)</w:t>
      </w:r>
    </w:p>
    <w:p>
      <w:pPr>
        <w:spacing w:before="80" w:after="80"/>
        <w:ind w:left="720"/>
      </w:pPr>
      <w:r>
        <w:rPr>
          <w:rFonts w:ascii="Consolas" w:cs="Consolas" w:eastAsia="Consolas" w:hAnsi="Consolas"/>
          <w:i/>
          <w:iCs/>
          <w:color w:val="333333"/>
          <w:sz w:val="19"/>
          <w:szCs w:val="19"/>
        </w:rPr>
        <w:t xml:space="preserve">C4(V5) = €10M (better transition support with education benefit)</w:t>
      </w:r>
    </w:p>
    <w:p>
      <w:pPr>
        <w:spacing w:after="160"/>
        <w:jc w:val="both"/>
      </w:pPr>
      <w:r>
        <w:rPr>
          <w:rFonts w:ascii="Arial" w:cs="Arial" w:eastAsia="Arial" w:hAnsi="Arial"/>
          <w:b/>
          <w:bCs/>
          <w:sz w:val="20"/>
          <w:szCs w:val="20"/>
        </w:rPr>
        <w:t xml:space="preserve">Total Social Cost V5: </w:t>
      </w:r>
      <w:r>
        <w:rPr>
          <w:rFonts w:ascii="Arial" w:cs="Arial" w:eastAsia="Arial" w:hAnsi="Arial"/>
          <w:sz w:val="20"/>
          <w:szCs w:val="20"/>
        </w:rPr>
        <w:t xml:space="preserve">€971.6 + 35.0 + 10.0 + 80.0 = €1,096.6M per year</w:t>
      </w:r>
    </w:p>
    <w:p>
      <w:pPr>
        <w:spacing w:after="160"/>
        <w:jc w:val="both"/>
      </w:pPr>
      <w:r>
        <w:rPr>
          <w:rFonts w:ascii="Arial" w:cs="Arial" w:eastAsia="Arial" w:hAnsi="Arial"/>
          <w:b w:val="false"/>
          <w:bCs w:val="false"/>
          <w:i w:val="false"/>
          <w:iCs w:val="false"/>
          <w:sz w:val="20"/>
          <w:szCs w:val="20"/>
        </w:rPr>
        <w:t xml:space="preserve">Cost per effective soldier-year: €1,096.6M / 16,000 = €68,538. Higher fiscal cost but better capability per soldier.</w:t>
      </w:r>
    </w:p>
    <w:p>
      <w:r>
        <w:br w:type="page"/>
      </w:r>
    </w:p>
    <w:p>
      <w:pPr>
        <w:pStyle w:val="Heading2"/>
        <w:spacing w:before="280" w:after="160"/>
      </w:pPr>
      <w:r>
        <w:rPr>
          <w:rFonts w:ascii="Arial" w:cs="Arial" w:eastAsia="Arial" w:hAnsi="Arial"/>
          <w:b/>
          <w:bCs/>
          <w:color w:val="2E5090"/>
          <w:sz w:val="26"/>
          <w:szCs w:val="26"/>
        </w:rPr>
        <w:t xml:space="preserve">5.6 Variant 6: Hybrid Reserve-Heavy AVF</w:t>
      </w:r>
    </w:p>
    <w:p>
      <w:pPr>
        <w:spacing w:after="160"/>
        <w:jc w:val="both"/>
      </w:pPr>
      <w:r>
        <w:rPr>
          <w:rFonts w:ascii="Arial" w:cs="Arial" w:eastAsia="Arial" w:hAnsi="Arial"/>
          <w:b w:val="false"/>
          <w:bCs w:val="false"/>
          <w:i w:val="false"/>
          <w:iCs w:val="false"/>
          <w:sz w:val="20"/>
          <w:szCs w:val="20"/>
        </w:rPr>
        <w:t xml:space="preserve">Active core: 10,000 professionals. Reserve component: 20,000 part-time reservists (30 training days/year). Annual active intake: 1,250. Reserve intake: 3,000/year.</w:t>
      </w:r>
    </w:p>
    <w:p>
      <w:pPr>
        <w:spacing w:before="80" w:after="80"/>
        <w:ind w:left="720"/>
      </w:pPr>
      <w:r>
        <w:rPr>
          <w:rFonts w:ascii="Consolas" w:cs="Consolas" w:eastAsia="Consolas" w:hAnsi="Consolas"/>
          <w:i/>
          <w:iCs/>
          <w:color w:val="333333"/>
          <w:sz w:val="19"/>
          <w:szCs w:val="19"/>
        </w:rPr>
        <w:t xml:space="preserve">C1(active) = 10,000 × 12 × (2,800 + 1,800) = €552.0M</w:t>
      </w:r>
    </w:p>
    <w:p>
      <w:pPr>
        <w:spacing w:before="80" w:after="80"/>
        <w:ind w:left="720"/>
      </w:pPr>
      <w:r>
        <w:rPr>
          <w:rFonts w:ascii="Consolas" w:cs="Consolas" w:eastAsia="Consolas" w:hAnsi="Consolas"/>
          <w:i/>
          <w:iCs/>
          <w:color w:val="333333"/>
          <w:sz w:val="19"/>
          <w:szCs w:val="19"/>
        </w:rPr>
        <w:t xml:space="preserve">C1(reserve) = 20,000 × 30/365 × 12 × (2,200 + 800) = €59.2M</w:t>
      </w:r>
    </w:p>
    <w:p>
      <w:pPr>
        <w:spacing w:after="160"/>
        <w:jc w:val="both"/>
      </w:pPr>
      <w:r>
        <w:rPr>
          <w:rFonts w:ascii="Arial" w:cs="Arial" w:eastAsia="Arial" w:hAnsi="Arial"/>
          <w:b w:val="false"/>
          <w:bCs w:val="false"/>
          <w:i w:val="false"/>
          <w:iCs w:val="false"/>
          <w:sz w:val="20"/>
          <w:szCs w:val="20"/>
        </w:rPr>
        <w:t xml:space="preserve">Reserve compensation: 30 days at €120/day = €3,600/year × 20,000 = €72.0M (included above).</w:t>
      </w:r>
    </w:p>
    <w:p>
      <w:pPr>
        <w:spacing w:before="80" w:after="80"/>
        <w:ind w:left="720"/>
      </w:pPr>
      <w:r>
        <w:rPr>
          <w:rFonts w:ascii="Consolas" w:cs="Consolas" w:eastAsia="Consolas" w:hAnsi="Consolas"/>
          <w:i/>
          <w:iCs/>
          <w:color w:val="333333"/>
          <w:sz w:val="19"/>
          <w:szCs w:val="19"/>
        </w:rPr>
        <w:t xml:space="preserve">C1(V6) = 552.0 + 59.2 + 35.0 (admin) = €646.2M</w:t>
      </w:r>
    </w:p>
    <w:p>
      <w:pPr>
        <w:spacing w:before="80" w:after="80"/>
        <w:ind w:left="720"/>
      </w:pPr>
      <w:r>
        <w:rPr>
          <w:rFonts w:ascii="Consolas" w:cs="Consolas" w:eastAsia="Consolas" w:hAnsi="Consolas"/>
          <w:i/>
          <w:iCs/>
          <w:color w:val="333333"/>
          <w:sz w:val="19"/>
          <w:szCs w:val="19"/>
        </w:rPr>
        <w:t xml:space="preserve">C3(V6) = 10,000 × 12 × 2,100 × 0.10 + 20,000 × 30/365 × 2,500 × 0.05 = €25.2 + 2.1 = €27.3M</w:t>
      </w:r>
    </w:p>
    <w:p>
      <w:pPr>
        <w:spacing w:before="80" w:after="80"/>
        <w:ind w:left="720"/>
      </w:pPr>
      <w:r>
        <w:rPr>
          <w:rFonts w:ascii="Consolas" w:cs="Consolas" w:eastAsia="Consolas" w:hAnsi="Consolas"/>
          <w:i/>
          <w:iCs/>
          <w:color w:val="333333"/>
          <w:sz w:val="19"/>
          <w:szCs w:val="19"/>
        </w:rPr>
        <w:t xml:space="preserve">C4(V6) = €12M</w:t>
      </w:r>
    </w:p>
    <w:p>
      <w:pPr>
        <w:spacing w:before="80" w:after="80"/>
        <w:ind w:left="720"/>
      </w:pPr>
      <w:r>
        <w:rPr>
          <w:rFonts w:ascii="Consolas" w:cs="Consolas" w:eastAsia="Consolas" w:hAnsi="Consolas"/>
          <w:i/>
          <w:iCs/>
          <w:color w:val="333333"/>
          <w:sz w:val="19"/>
          <w:szCs w:val="19"/>
        </w:rPr>
        <w:t xml:space="preserve">C5(V6) = 1,250 × €25,000 + 3,000 × €5,000 + €30M = €76.3M</w:t>
      </w:r>
    </w:p>
    <w:p>
      <w:pPr>
        <w:spacing w:after="160"/>
        <w:jc w:val="both"/>
      </w:pPr>
      <w:r>
        <w:rPr>
          <w:rFonts w:ascii="Arial" w:cs="Arial" w:eastAsia="Arial" w:hAnsi="Arial"/>
          <w:b/>
          <w:bCs/>
          <w:sz w:val="20"/>
          <w:szCs w:val="20"/>
        </w:rPr>
        <w:t xml:space="preserve">Total Social Cost V6: </w:t>
      </w:r>
      <w:r>
        <w:rPr>
          <w:rFonts w:ascii="Arial" w:cs="Arial" w:eastAsia="Arial" w:hAnsi="Arial"/>
          <w:sz w:val="20"/>
          <w:szCs w:val="20"/>
        </w:rPr>
        <w:t xml:space="preserve">€646.2 + 27.3 + 12.0 + 76.3 = €761.8M per year</w:t>
      </w:r>
    </w:p>
    <w:p>
      <w:pPr>
        <w:spacing w:after="160"/>
        <w:jc w:val="both"/>
      </w:pPr>
      <w:r>
        <w:rPr>
          <w:rFonts w:ascii="Arial" w:cs="Arial" w:eastAsia="Arial" w:hAnsi="Arial"/>
          <w:b w:val="false"/>
          <w:bCs w:val="false"/>
          <w:i w:val="false"/>
          <w:iCs w:val="false"/>
          <w:sz w:val="20"/>
          <w:szCs w:val="20"/>
        </w:rPr>
        <w:t xml:space="preserve">Effective soldier-years: 10,000 × 1.0 + 20,000 × (30/365) = 10,000 + 1,644 = 11,644.</w:t>
      </w:r>
    </w:p>
    <w:p>
      <w:pPr>
        <w:spacing w:after="160"/>
        <w:jc w:val="both"/>
      </w:pPr>
      <w:r>
        <w:rPr>
          <w:rFonts w:ascii="Arial" w:cs="Arial" w:eastAsia="Arial" w:hAnsi="Arial"/>
          <w:b w:val="false"/>
          <w:bCs w:val="false"/>
          <w:i w:val="false"/>
          <w:iCs w:val="false"/>
          <w:sz w:val="20"/>
          <w:szCs w:val="20"/>
        </w:rPr>
        <w:t xml:space="preserve">Cost per effective soldier-year: €761.8M / 11,644 = €65,423.</w:t>
      </w:r>
    </w:p>
    <w:p>
      <w:pPr>
        <w:spacing w:after="160"/>
        <w:jc w:val="both"/>
      </w:pPr>
      <w:r>
        <w:rPr>
          <w:rFonts w:ascii="Arial" w:cs="Arial" w:eastAsia="Arial" w:hAnsi="Arial"/>
          <w:b w:val="false"/>
          <w:bCs w:val="false"/>
          <w:i w:val="false"/>
          <w:iCs w:val="false"/>
          <w:sz w:val="20"/>
          <w:szCs w:val="20"/>
        </w:rPr>
        <w:t xml:space="preserve">Mobilisation capacity: 30,000 within weeks (10,000 active + 20,000 reserves), comparable to the current system’s target of 55,000 mobilisation strength but with much higher individual readiness.</w:t>
      </w:r>
    </w:p>
    <w:p>
      <w:r>
        <w:br w:type="page"/>
      </w:r>
    </w:p>
    <w:p>
      <w:pPr>
        <w:pStyle w:val="Heading1"/>
        <w:spacing w:before="360" w:after="200"/>
      </w:pPr>
      <w:r>
        <w:rPr>
          <w:rFonts w:ascii="Arial" w:cs="Arial" w:eastAsia="Arial" w:hAnsi="Arial"/>
          <w:b/>
          <w:bCs/>
          <w:color w:val="1A3764"/>
          <w:sz w:val="32"/>
          <w:szCs w:val="32"/>
        </w:rPr>
        <w:t xml:space="preserve">6. Numerical Estimates – Summary</w:t>
      </w:r>
    </w:p>
    <w:p>
      <w:pPr>
        <w:pStyle w:val="Heading2"/>
        <w:spacing w:before="280" w:after="160"/>
      </w:pPr>
      <w:r>
        <w:rPr>
          <w:rFonts w:ascii="Arial" w:cs="Arial" w:eastAsia="Arial" w:hAnsi="Arial"/>
          <w:b/>
          <w:bCs/>
          <w:color w:val="2E5090"/>
          <w:sz w:val="26"/>
          <w:szCs w:val="26"/>
        </w:rPr>
        <w:t xml:space="preserve">6.1 Central Scenario Results (Baseline Parameters)</w:t>
      </w:r>
    </w:p>
    <w:p>
      <w:pPr>
        <w:spacing w:after="160"/>
        <w:jc w:val="both"/>
      </w:pPr>
      <w:r>
        <w:rPr>
          <w:rFonts w:ascii="Arial" w:cs="Arial" w:eastAsia="Arial" w:hAnsi="Arial"/>
          <w:b w:val="false"/>
          <w:bCs w:val="false"/>
          <w:i w:val="false"/>
          <w:iCs w:val="false"/>
          <w:sz w:val="20"/>
          <w:szCs w:val="20"/>
        </w:rPr>
        <w:t xml:space="preserve">The following table presents the central-case estimates for all six variants under baseline parameter assumptions.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100"/>
        <w:gridCol w:w="1100"/>
        <w:gridCol w:w="1100"/>
        <w:gridCol w:w="1100"/>
        <w:gridCol w:w="900"/>
        <w:gridCol w:w="960"/>
      </w:tblGrid>
      <w:tr>
        <w:tc>
          <w:tcPr>
            <w:tcW w:type="dxa" w:w="21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Variant</w:t>
            </w:r>
          </w:p>
        </w:tc>
        <w:tc>
          <w:tcPr>
            <w:tcW w:type="dxa" w:w="11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C₁ Fiscal (€M)</w:t>
            </w:r>
          </w:p>
        </w:tc>
        <w:tc>
          <w:tcPr>
            <w:tcW w:type="dxa" w:w="11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C₃ Prod. (€M)</w:t>
            </w:r>
          </w:p>
        </w:tc>
        <w:tc>
          <w:tcPr>
            <w:tcW w:type="dxa" w:w="11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C₄ LT Earn (€M)</w:t>
            </w:r>
          </w:p>
        </w:tc>
        <w:tc>
          <w:tcPr>
            <w:tcW w:type="dxa" w:w="11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C₅ Admin (€M)</w:t>
            </w:r>
          </w:p>
        </w:tc>
        <w:tc>
          <w:tcPr>
            <w:tcW w:type="dxa" w:w="9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TSC (€M)</w:t>
            </w:r>
          </w:p>
        </w:tc>
        <w:tc>
          <w:tcPr>
            <w:tcW w:type="dxa" w:w="9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Cost/ESY (€k)</w:t>
            </w:r>
          </w:p>
        </w:tc>
      </w:tr>
      <w:tr>
        <w:tc>
          <w:tcPr>
            <w:tcW w:type="dxa" w:w="2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1. Current (6mo)</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217.8</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191.1</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28.3</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60.0</w:t>
            </w:r>
          </w:p>
        </w:tc>
        <w:tc>
          <w:tcPr>
            <w:tcW w:type="dxa" w:w="9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bCs/>
                <w:sz w:val="18"/>
                <w:szCs w:val="18"/>
              </w:rPr>
              <w:t xml:space="preserve">497.2</w:t>
            </w:r>
          </w:p>
        </w:tc>
        <w:tc>
          <w:tcPr>
            <w:tcW w:type="dxa" w:w="9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101.5</w:t>
            </w:r>
          </w:p>
        </w:tc>
      </w:tr>
      <w:tr>
        <w:tc>
          <w:tcPr>
            <w:tcW w:type="dxa" w:w="2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2. Extended (9mo)</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290.0</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286.7</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42.5</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70.0</w:t>
            </w:r>
          </w:p>
        </w:tc>
        <w:tc>
          <w:tcPr>
            <w:tcW w:type="dxa" w:w="9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bCs/>
                <w:sz w:val="18"/>
                <w:szCs w:val="18"/>
              </w:rPr>
              <w:t xml:space="preserve">689.2</w:t>
            </w:r>
          </w:p>
        </w:tc>
        <w:tc>
          <w:tcPr>
            <w:tcW w:type="dxa" w:w="9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80.4</w:t>
            </w:r>
          </w:p>
        </w:tc>
      </w:tr>
      <w:tr>
        <w:tc>
          <w:tcPr>
            <w:tcW w:type="dxa" w:w="2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3. High-Pay Consc.</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291.6</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127.4</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28.3</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60.0</w:t>
            </w:r>
          </w:p>
        </w:tc>
        <w:tc>
          <w:tcPr>
            <w:tcW w:type="dxa" w:w="9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bCs/>
                <w:sz w:val="18"/>
                <w:szCs w:val="18"/>
              </w:rPr>
              <w:t xml:space="preserve">507.3</w:t>
            </w:r>
          </w:p>
        </w:tc>
        <w:tc>
          <w:tcPr>
            <w:tcW w:type="dxa" w:w="9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103.5</w:t>
            </w:r>
          </w:p>
        </w:tc>
      </w:tr>
      <w:tr>
        <w:tc>
          <w:tcPr>
            <w:tcW w:type="dxa" w:w="2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4. Baseline AVF</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825.6</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40.3</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15.0</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90.0</w:t>
            </w:r>
          </w:p>
        </w:tc>
        <w:tc>
          <w:tcPr>
            <w:tcW w:type="dxa" w:w="9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bCs/>
                <w:sz w:val="18"/>
                <w:szCs w:val="18"/>
              </w:rPr>
              <w:t xml:space="preserve">970.9</w:t>
            </w:r>
          </w:p>
        </w:tc>
        <w:tc>
          <w:tcPr>
            <w:tcW w:type="dxa" w:w="9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60.7</w:t>
            </w:r>
          </w:p>
        </w:tc>
      </w:tr>
      <w:tr>
        <w:tc>
          <w:tcPr>
            <w:tcW w:type="dxa" w:w="2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5. High-Incentive AVF</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971.6</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35.0</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10.0</w:t>
            </w:r>
          </w:p>
        </w:tc>
        <w:tc>
          <w:tcPr>
            <w:tcW w:type="dxa" w:w="1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80.0</w:t>
            </w:r>
          </w:p>
        </w:tc>
        <w:tc>
          <w:tcPr>
            <w:tcW w:type="dxa" w:w="9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bCs/>
                <w:sz w:val="18"/>
                <w:szCs w:val="18"/>
              </w:rPr>
              <w:t xml:space="preserve">1,096.6</w:t>
            </w:r>
          </w:p>
        </w:tc>
        <w:tc>
          <w:tcPr>
            <w:tcW w:type="dxa" w:w="9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68.5</w:t>
            </w:r>
          </w:p>
        </w:tc>
      </w:tr>
      <w:tr>
        <w:tc>
          <w:tcPr>
            <w:tcW w:type="dxa" w:w="2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6. Hybrid Reserve AVF</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646.2</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27.3</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12.0</w:t>
            </w:r>
          </w:p>
        </w:tc>
        <w:tc>
          <w:tcPr>
            <w:tcW w:type="dxa" w:w="1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76.3</w:t>
            </w:r>
          </w:p>
        </w:tc>
        <w:tc>
          <w:tcPr>
            <w:tcW w:type="dxa" w:w="9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bCs/>
                <w:sz w:val="18"/>
                <w:szCs w:val="18"/>
              </w:rPr>
              <w:t xml:space="preserve">761.8</w:t>
            </w:r>
          </w:p>
        </w:tc>
        <w:tc>
          <w:tcPr>
            <w:tcW w:type="dxa" w:w="9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65.4</w:t>
            </w:r>
          </w:p>
        </w:tc>
      </w:tr>
    </w:tbl>
    <w:p>
      <w:pPr>
        <w:spacing w:before="120"/>
      </w:pPr>
    </w:p>
    <w:p>
      <w:pPr>
        <w:spacing w:after="160"/>
        <w:jc w:val="both"/>
      </w:pPr>
      <w:r>
        <w:rPr>
          <w:rFonts w:ascii="Arial" w:cs="Arial" w:eastAsia="Arial" w:hAnsi="Arial"/>
          <w:b w:val="false"/>
          <w:bCs w:val="false"/>
          <w:i/>
          <w:iCs/>
          <w:sz w:val="20"/>
          <w:szCs w:val="20"/>
        </w:rPr>
        <w:t xml:space="preserve">ESY = Effective Soldier-Year. TSC = Total Social Cost. All figures in € millions unless noted.</w:t>
      </w:r>
    </w:p>
    <w:p>
      <w:pPr>
        <w:spacing w:before="120"/>
      </w:pPr>
    </w:p>
    <w:p>
      <w:pPr>
        <w:spacing w:after="160"/>
        <w:jc w:val="both"/>
      </w:pPr>
      <w:r>
        <w:rPr>
          <w:rFonts w:ascii="Arial" w:cs="Arial" w:eastAsia="Arial" w:hAnsi="Arial"/>
          <w:b w:val="false"/>
          <w:bCs w:val="false"/>
          <w:i/>
          <w:iCs/>
          <w:sz w:val="20"/>
          <w:szCs w:val="20"/>
        </w:rPr>
        <w:t xml:space="preserve">ESY = Effective Soldier-Year. TSC = Total Social Cost. All figures in € millions unless noted.</w:t>
      </w:r>
    </w:p>
    <w:p>
      <w:pPr>
        <w:pStyle w:val="Heading2"/>
        <w:spacing w:before="280" w:after="160"/>
      </w:pPr>
      <w:r>
        <w:rPr>
          <w:rFonts w:ascii="Arial" w:cs="Arial" w:eastAsia="Arial" w:hAnsi="Arial"/>
          <w:b/>
          <w:bCs/>
          <w:color w:val="2E5090"/>
          <w:sz w:val="26"/>
          <w:szCs w:val="26"/>
        </w:rPr>
        <w:t xml:space="preserve">6.2 Key Findings</w:t>
      </w:r>
    </w:p>
    <w:p>
      <w:pPr>
        <w:spacing w:after="160"/>
        <w:jc w:val="both"/>
      </w:pPr>
      <w:r>
        <w:rPr>
          <w:rFonts w:ascii="Arial" w:cs="Arial" w:eastAsia="Arial" w:hAnsi="Arial"/>
          <w:b w:val="false"/>
          <w:bCs w:val="false"/>
          <w:i w:val="false"/>
          <w:iCs w:val="false"/>
          <w:sz w:val="20"/>
          <w:szCs w:val="20"/>
        </w:rPr>
        <w:t xml:space="preserve">The extended conscription variant (V2) has the highest total social cost (€689M) but also the lowest cost per effective soldier-year (€80.4k) among conscription variants because the additional 3 months generate more operational output. However, this comes at enormous opportunity cost, falling entirely on conscripts.</w:t>
      </w:r>
    </w:p>
    <w:p>
      <w:pPr>
        <w:spacing w:after="160"/>
        <w:jc w:val="both"/>
      </w:pPr>
      <w:r>
        <w:rPr>
          <w:rFonts w:ascii="Arial" w:cs="Arial" w:eastAsia="Arial" w:hAnsi="Arial"/>
          <w:b w:val="false"/>
          <w:bCs w:val="false"/>
          <w:i w:val="false"/>
          <w:iCs w:val="false"/>
          <w:sz w:val="20"/>
          <w:szCs w:val="20"/>
        </w:rPr>
        <w:t xml:space="preserve">The baseline AVF (V4) and high-incentive AVF (V5) have the highest total fiscal cost (€826–972M) but the lowest cost per effective soldier-year (€60.7–68.5k) because they produce fully-trained, year-round professional soldiers with no deadweight opportunity cost losses.</w:t>
      </w:r>
    </w:p>
    <w:p>
      <w:pPr>
        <w:spacing w:after="160"/>
        <w:jc w:val="both"/>
      </w:pPr>
      <w:r>
        <w:rPr>
          <w:rFonts w:ascii="Arial" w:cs="Arial" w:eastAsia="Arial" w:hAnsi="Arial"/>
          <w:b w:val="false"/>
          <w:bCs w:val="false"/>
          <w:i w:val="false"/>
          <w:iCs w:val="false"/>
          <w:sz w:val="20"/>
          <w:szCs w:val="20"/>
        </w:rPr>
        <w:t xml:space="preserve">The hybrid model (V6) achieves a favourable balance: lower total fiscal cost than full AVF variants while maintaining low cost per effective soldier-year and preserving substantial mobilisation capacity through its reserve component.</w:t>
      </w:r>
    </w:p>
    <w:p>
      <w:pPr>
        <w:spacing w:after="160"/>
        <w:jc w:val="both"/>
      </w:pPr>
      <w:r>
        <w:rPr>
          <w:rFonts w:ascii="Arial" w:cs="Arial" w:eastAsia="Arial" w:hAnsi="Arial"/>
          <w:b w:val="false"/>
          <w:bCs w:val="false"/>
          <w:i w:val="false"/>
          <w:iCs w:val="false"/>
          <w:sz w:val="20"/>
          <w:szCs w:val="20"/>
        </w:rPr>
        <w:t xml:space="preserve">Higher conscript pay (V3) is the least effective reform: it increases total social cost slightly above the current system because higher pay is a fiscal transfer that does not reduce the real economic cost of removing young men from productive civilian activity.</w:t>
      </w:r>
    </w:p>
    <w:p>
      <w:r>
        <w:br w:type="page"/>
      </w:r>
    </w:p>
    <w:p>
      <w:pPr>
        <w:pStyle w:val="Heading2"/>
        <w:spacing w:before="280" w:after="160"/>
      </w:pPr>
      <w:r>
        <w:rPr>
          <w:rFonts w:ascii="Arial" w:cs="Arial" w:eastAsia="Arial" w:hAnsi="Arial"/>
          <w:b/>
          <w:bCs/>
          <w:color w:val="2E5090"/>
          <w:sz w:val="26"/>
          <w:szCs w:val="26"/>
        </w:rPr>
        <w:t xml:space="preserve">6.2 Key Findings</w:t>
      </w:r>
    </w:p>
    <w:p>
      <w:pPr>
        <w:spacing w:after="160"/>
        <w:jc w:val="both"/>
      </w:pPr>
      <w:r>
        <w:rPr>
          <w:rFonts w:ascii="Arial" w:cs="Arial" w:eastAsia="Arial" w:hAnsi="Arial"/>
          <w:b w:val="false"/>
          <w:bCs w:val="false"/>
          <w:i w:val="false"/>
          <w:iCs w:val="false"/>
          <w:sz w:val="20"/>
          <w:szCs w:val="20"/>
        </w:rPr>
        <w:t xml:space="preserve">The extended conscription variant (V2) has the highest total social cost (€689M) but a lower cost per effective soldier-year (€80.4k) among conscription variants because the additional 3 months generate more operational output. However, this comes at enormous opportunity cost, falling entirely on conscripts.</w:t>
      </w:r>
    </w:p>
    <w:p>
      <w:pPr>
        <w:spacing w:after="160"/>
        <w:jc w:val="both"/>
      </w:pPr>
      <w:r>
        <w:rPr>
          <w:rFonts w:ascii="Arial" w:cs="Arial" w:eastAsia="Arial" w:hAnsi="Arial"/>
          <w:b w:val="false"/>
          <w:bCs w:val="false"/>
          <w:i w:val="false"/>
          <w:iCs w:val="false"/>
          <w:sz w:val="20"/>
          <w:szCs w:val="20"/>
        </w:rPr>
        <w:t xml:space="preserve">The baseline AVF (V4) and high-incentive AVF (V5) have the highest total fiscal cost (€826–972M) but the lowest cost per effective soldier-year (€60.7–68.5k) because they produce fully-trained, year-round professional soldiers with no deadweight opportunity cost losses.</w:t>
      </w:r>
    </w:p>
    <w:p>
      <w:pPr>
        <w:spacing w:after="160"/>
        <w:jc w:val="both"/>
      </w:pPr>
      <w:r>
        <w:rPr>
          <w:rFonts w:ascii="Arial" w:cs="Arial" w:eastAsia="Arial" w:hAnsi="Arial"/>
          <w:b w:val="false"/>
          <w:bCs w:val="false"/>
          <w:i w:val="false"/>
          <w:iCs w:val="false"/>
          <w:sz w:val="20"/>
          <w:szCs w:val="20"/>
        </w:rPr>
        <w:t xml:space="preserve">The hybrid model (V6) achieves a favourable balance: lower total fiscal cost than full AVF variants while maintaining low cost per effective soldier-year and preserving substantial mobilisation capacity through its reserve component.</w:t>
      </w:r>
    </w:p>
    <w:p>
      <w:pPr>
        <w:spacing w:after="160"/>
        <w:jc w:val="both"/>
      </w:pPr>
      <w:r>
        <w:rPr>
          <w:rFonts w:ascii="Arial" w:cs="Arial" w:eastAsia="Arial" w:hAnsi="Arial"/>
          <w:b w:val="false"/>
          <w:bCs w:val="false"/>
          <w:i w:val="false"/>
          <w:iCs w:val="false"/>
          <w:sz w:val="20"/>
          <w:szCs w:val="20"/>
        </w:rPr>
        <w:t xml:space="preserve">Higher conscript pay (V3) is the least effective reform: it increases total social cost slightly above the current system because higher pay is a fiscal transfer that does not reduce the real economic cost of removing young men from productive civilian activity.</w:t>
      </w:r>
    </w:p>
    <w:p>
      <w:r>
        <w:br w:type="page"/>
      </w:r>
    </w:p>
    <w:p>
      <w:pPr>
        <w:pStyle w:val="Heading1"/>
        <w:spacing w:before="360" w:after="200"/>
      </w:pPr>
      <w:r>
        <w:rPr>
          <w:rFonts w:ascii="Arial" w:cs="Arial" w:eastAsia="Arial" w:hAnsi="Arial"/>
          <w:b/>
          <w:bCs/>
          <w:color w:val="1A3764"/>
          <w:sz w:val="32"/>
          <w:szCs w:val="32"/>
        </w:rPr>
        <w:t xml:space="preserve">7. Sensitivity Analysis</w:t>
      </w:r>
    </w:p>
    <w:p>
      <w:pPr>
        <w:spacing w:after="160"/>
        <w:jc w:val="both"/>
      </w:pPr>
      <w:r>
        <w:rPr>
          <w:rFonts w:ascii="Arial" w:cs="Arial" w:eastAsia="Arial" w:hAnsi="Arial"/>
          <w:b w:val="false"/>
          <w:bCs w:val="false"/>
          <w:i w:val="false"/>
          <w:iCs w:val="false"/>
          <w:sz w:val="20"/>
          <w:szCs w:val="20"/>
        </w:rPr>
        <w:t xml:space="preserve">We test robustness across three scenarios by varying the most uncertain parameters: civilian wage of conscripts, Mincerian return to experience, and the AVF wage premium.</w:t>
      </w:r>
    </w:p>
    <w:p>
      <w:pPr>
        <w:pStyle w:val="Heading2"/>
        <w:spacing w:before="280" w:after="160"/>
      </w:pPr>
      <w:r>
        <w:rPr>
          <w:rFonts w:ascii="Arial" w:cs="Arial" w:eastAsia="Arial" w:hAnsi="Arial"/>
          <w:b/>
          <w:bCs/>
          <w:color w:val="2E5090"/>
          <w:sz w:val="26"/>
          <w:szCs w:val="26"/>
        </w:rPr>
        <w:t xml:space="preserve">7.1 Parameter Scenarios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100"/>
        <w:gridCol w:w="2000"/>
        <w:gridCol w:w="2060"/>
      </w:tblGrid>
      <w:tr>
        <w:tc>
          <w:tcPr>
            <w:tcW w:type="dxa" w:w="32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Parameter</w:t>
            </w:r>
          </w:p>
        </w:tc>
        <w:tc>
          <w:tcPr>
            <w:tcW w:type="dxa" w:w="21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Low Scenario</w:t>
            </w:r>
          </w:p>
        </w:tc>
        <w:tc>
          <w:tcPr>
            <w:tcW w:type="dxa" w:w="20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Baseline</w:t>
            </w:r>
          </w:p>
        </w:tc>
        <w:tc>
          <w:tcPr>
            <w:tcW w:type="dxa" w:w="20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High Scenario</w:t>
            </w:r>
          </w:p>
        </w:tc>
      </w:tr>
      <w:tr>
        <w:tc>
          <w:tcPr>
            <w:tcW w:type="dxa" w:w="3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Entry-level civilian wage</w:t>
            </w:r>
          </w:p>
        </w:tc>
        <w:tc>
          <w:tcPr>
            <w:tcW w:type="dxa" w:w="2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€1,500/mo</w:t>
            </w:r>
          </w:p>
        </w:tc>
        <w:tc>
          <w:tcPr>
            <w:tcW w:type="dxa" w:w="2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€1,950/mo</w:t>
            </w:r>
          </w:p>
        </w:tc>
        <w:tc>
          <w:tcPr>
            <w:tcW w:type="dxa" w:w="20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€2,400/mo</w:t>
            </w:r>
          </w:p>
        </w:tc>
      </w:tr>
      <w:tr>
        <w:tc>
          <w:tcPr>
            <w:tcW w:type="dxa" w:w="3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Mincerian return to experience</w:t>
            </w:r>
          </w:p>
        </w:tc>
        <w:tc>
          <w:tcPr>
            <w:tcW w:type="dxa" w:w="2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2.5%/yr</w:t>
            </w:r>
          </w:p>
        </w:tc>
        <w:tc>
          <w:tcPr>
            <w:tcW w:type="dxa" w:w="2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4%/yr</w:t>
            </w:r>
          </w:p>
        </w:tc>
        <w:tc>
          <w:tcPr>
            <w:tcW w:type="dxa" w:w="20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5.5%/yr</w:t>
            </w:r>
          </w:p>
        </w:tc>
      </w:tr>
      <w:tr>
        <w:tc>
          <w:tcPr>
            <w:tcW w:type="dxa" w:w="3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AVF wage (baseline variant)</w:t>
            </w:r>
          </w:p>
        </w:tc>
        <w:tc>
          <w:tcPr>
            <w:tcW w:type="dxa" w:w="2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€2,200/mo</w:t>
            </w:r>
          </w:p>
        </w:tc>
        <w:tc>
          <w:tcPr>
            <w:tcW w:type="dxa" w:w="2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€2,500/mo</w:t>
            </w:r>
          </w:p>
        </w:tc>
        <w:tc>
          <w:tcPr>
            <w:tcW w:type="dxa" w:w="20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€3,000/mo</w:t>
            </w:r>
          </w:p>
        </w:tc>
      </w:tr>
      <w:tr>
        <w:tc>
          <w:tcPr>
            <w:tcW w:type="dxa" w:w="3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Skill transferability (α)</w:t>
            </w:r>
          </w:p>
        </w:tc>
        <w:tc>
          <w:tcPr>
            <w:tcW w:type="dxa" w:w="21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10%</w:t>
            </w:r>
          </w:p>
        </w:tc>
        <w:tc>
          <w:tcPr>
            <w:tcW w:type="dxa" w:w="20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5%</w:t>
            </w:r>
          </w:p>
        </w:tc>
        <w:tc>
          <w:tcPr>
            <w:tcW w:type="dxa" w:w="20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2%</w:t>
            </w:r>
          </w:p>
        </w:tc>
      </w:tr>
      <w:tr>
        <w:tc>
          <w:tcPr>
            <w:tcW w:type="dxa" w:w="3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Youth unemployment rate</w:t>
            </w:r>
          </w:p>
        </w:tc>
        <w:tc>
          <w:tcPr>
            <w:tcW w:type="dxa" w:w="21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15%</w:t>
            </w:r>
          </w:p>
        </w:tc>
        <w:tc>
          <w:tcPr>
            <w:tcW w:type="dxa" w:w="20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10%</w:t>
            </w:r>
          </w:p>
        </w:tc>
        <w:tc>
          <w:tcPr>
            <w:tcW w:type="dxa" w:w="20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6%</w:t>
            </w:r>
          </w:p>
        </w:tc>
      </w:tr>
    </w:tbl>
    <w:p>
      <w:pPr>
        <w:spacing w:before="200"/>
      </w:pPr>
    </w:p>
    <w:p>
      <w:pPr>
        <w:pStyle w:val="Heading2"/>
        <w:spacing w:before="280" w:after="160"/>
      </w:pPr>
      <w:r>
        <w:rPr>
          <w:rFonts w:ascii="Arial" w:cs="Arial" w:eastAsia="Arial" w:hAnsi="Arial"/>
          <w:b/>
          <w:bCs/>
          <w:color w:val="2E5090"/>
          <w:sz w:val="26"/>
          <w:szCs w:val="26"/>
        </w:rPr>
        <w:t xml:space="preserve">7.2 Sensitivity Results: Total Social Cost (€M)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200"/>
        <w:gridCol w:w="2360"/>
        <w:gridCol w:w="2300"/>
      </w:tblGrid>
      <w:tr>
        <w:tc>
          <w:tcPr>
            <w:tcW w:type="dxa" w:w="25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Variant</w:t>
            </w:r>
          </w:p>
        </w:tc>
        <w:tc>
          <w:tcPr>
            <w:tcW w:type="dxa" w:w="22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Low (€M)</w:t>
            </w:r>
          </w:p>
        </w:tc>
        <w:tc>
          <w:tcPr>
            <w:tcW w:type="dxa" w:w="23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Baseline (€M)</w:t>
            </w:r>
          </w:p>
        </w:tc>
        <w:tc>
          <w:tcPr>
            <w:tcW w:type="dxa" w:w="23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High (€M)</w:t>
            </w:r>
          </w:p>
        </w:tc>
      </w:tr>
      <w:tr>
        <w:tc>
          <w:tcPr>
            <w:tcW w:type="dxa" w:w="25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1. Current (6mo)</w:t>
            </w:r>
          </w:p>
        </w:tc>
        <w:tc>
          <w:tcPr>
            <w:tcW w:type="dxa" w:w="2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389</w:t>
            </w:r>
          </w:p>
        </w:tc>
        <w:tc>
          <w:tcPr>
            <w:tcW w:type="dxa" w:w="23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497</w:t>
            </w:r>
          </w:p>
        </w:tc>
        <w:tc>
          <w:tcPr>
            <w:tcW w:type="dxa" w:w="23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618</w:t>
            </w:r>
          </w:p>
        </w:tc>
      </w:tr>
      <w:tr>
        <w:tc>
          <w:tcPr>
            <w:tcW w:type="dxa" w:w="25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2. Extended (9mo)</w:t>
            </w:r>
          </w:p>
        </w:tc>
        <w:tc>
          <w:tcPr>
            <w:tcW w:type="dxa" w:w="2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539</w:t>
            </w:r>
          </w:p>
        </w:tc>
        <w:tc>
          <w:tcPr>
            <w:tcW w:type="dxa" w:w="23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689</w:t>
            </w:r>
          </w:p>
        </w:tc>
        <w:tc>
          <w:tcPr>
            <w:tcW w:type="dxa" w:w="23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860</w:t>
            </w:r>
          </w:p>
        </w:tc>
      </w:tr>
      <w:tr>
        <w:tc>
          <w:tcPr>
            <w:tcW w:type="dxa" w:w="25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3. High-Pay Conscription</w:t>
            </w:r>
          </w:p>
        </w:tc>
        <w:tc>
          <w:tcPr>
            <w:tcW w:type="dxa" w:w="2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421</w:t>
            </w:r>
          </w:p>
        </w:tc>
        <w:tc>
          <w:tcPr>
            <w:tcW w:type="dxa" w:w="23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507</w:t>
            </w:r>
          </w:p>
        </w:tc>
        <w:tc>
          <w:tcPr>
            <w:tcW w:type="dxa" w:w="23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606</w:t>
            </w:r>
          </w:p>
        </w:tc>
      </w:tr>
      <w:tr>
        <w:tc>
          <w:tcPr>
            <w:tcW w:type="dxa" w:w="25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4. Baseline AVF</w:t>
            </w:r>
          </w:p>
        </w:tc>
        <w:tc>
          <w:tcPr>
            <w:tcW w:type="dxa" w:w="2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859</w:t>
            </w:r>
          </w:p>
        </w:tc>
        <w:tc>
          <w:tcPr>
            <w:tcW w:type="dxa" w:w="23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971</w:t>
            </w:r>
          </w:p>
        </w:tc>
        <w:tc>
          <w:tcPr>
            <w:tcW w:type="dxa" w:w="23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1,139</w:t>
            </w:r>
          </w:p>
        </w:tc>
      </w:tr>
      <w:tr>
        <w:tc>
          <w:tcPr>
            <w:tcW w:type="dxa" w:w="25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5. High-Incentive AVF</w:t>
            </w:r>
          </w:p>
        </w:tc>
        <w:tc>
          <w:tcPr>
            <w:tcW w:type="dxa" w:w="2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978</w:t>
            </w:r>
          </w:p>
        </w:tc>
        <w:tc>
          <w:tcPr>
            <w:tcW w:type="dxa" w:w="23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1,097</w:t>
            </w:r>
          </w:p>
        </w:tc>
        <w:tc>
          <w:tcPr>
            <w:tcW w:type="dxa" w:w="23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1,260</w:t>
            </w:r>
          </w:p>
        </w:tc>
      </w:tr>
      <w:tr>
        <w:tc>
          <w:tcPr>
            <w:tcW w:type="dxa" w:w="25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6. Hybrid Reserve AVF</w:t>
            </w:r>
          </w:p>
        </w:tc>
        <w:tc>
          <w:tcPr>
            <w:tcW w:type="dxa" w:w="2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667</w:t>
            </w:r>
          </w:p>
        </w:tc>
        <w:tc>
          <w:tcPr>
            <w:tcW w:type="dxa" w:w="23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762</w:t>
            </w:r>
          </w:p>
        </w:tc>
        <w:tc>
          <w:tcPr>
            <w:tcW w:type="dxa" w:w="23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885</w:t>
            </w:r>
          </w:p>
        </w:tc>
      </w:tr>
    </w:tbl>
    <w:p>
      <w:pPr>
        <w:spacing w:before="200"/>
      </w:pPr>
    </w:p>
    <w:p>
      <w:pPr>
        <w:pStyle w:val="Heading2"/>
        <w:spacing w:before="280" w:after="160"/>
      </w:pPr>
      <w:r>
        <w:rPr>
          <w:rFonts w:ascii="Arial" w:cs="Arial" w:eastAsia="Arial" w:hAnsi="Arial"/>
          <w:b/>
          <w:bCs/>
          <w:color w:val="2E5090"/>
          <w:sz w:val="26"/>
          <w:szCs w:val="26"/>
        </w:rPr>
        <w:t xml:space="preserve">7.3 Sensitivity Results: Cost per Effective Soldier-Year (€k)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200"/>
        <w:gridCol w:w="2360"/>
        <w:gridCol w:w="2300"/>
      </w:tblGrid>
      <w:tr>
        <w:tc>
          <w:tcPr>
            <w:tcW w:type="dxa" w:w="25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Variant</w:t>
            </w:r>
          </w:p>
        </w:tc>
        <w:tc>
          <w:tcPr>
            <w:tcW w:type="dxa" w:w="22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Low (€k)</w:t>
            </w:r>
          </w:p>
        </w:tc>
        <w:tc>
          <w:tcPr>
            <w:tcW w:type="dxa" w:w="23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Baseline (€k)</w:t>
            </w:r>
          </w:p>
        </w:tc>
        <w:tc>
          <w:tcPr>
            <w:tcW w:type="dxa" w:w="23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High (€k)</w:t>
            </w:r>
          </w:p>
        </w:tc>
      </w:tr>
      <w:tr>
        <w:tc>
          <w:tcPr>
            <w:tcW w:type="dxa" w:w="25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1. Current (6mo)</w:t>
            </w:r>
          </w:p>
        </w:tc>
        <w:tc>
          <w:tcPr>
            <w:tcW w:type="dxa" w:w="2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79.4</w:t>
            </w:r>
          </w:p>
        </w:tc>
        <w:tc>
          <w:tcPr>
            <w:tcW w:type="dxa" w:w="23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101.5</w:t>
            </w:r>
          </w:p>
        </w:tc>
        <w:tc>
          <w:tcPr>
            <w:tcW w:type="dxa" w:w="23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126.1</w:t>
            </w:r>
          </w:p>
        </w:tc>
      </w:tr>
      <w:tr>
        <w:tc>
          <w:tcPr>
            <w:tcW w:type="dxa" w:w="25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2. Extended (9mo)</w:t>
            </w:r>
          </w:p>
        </w:tc>
        <w:tc>
          <w:tcPr>
            <w:tcW w:type="dxa" w:w="2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62.9</w:t>
            </w:r>
          </w:p>
        </w:tc>
        <w:tc>
          <w:tcPr>
            <w:tcW w:type="dxa" w:w="23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80.4</w:t>
            </w:r>
          </w:p>
        </w:tc>
        <w:tc>
          <w:tcPr>
            <w:tcW w:type="dxa" w:w="23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100.3</w:t>
            </w:r>
          </w:p>
        </w:tc>
      </w:tr>
      <w:tr>
        <w:tc>
          <w:tcPr>
            <w:tcW w:type="dxa" w:w="25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3. High-Pay Conscription</w:t>
            </w:r>
          </w:p>
        </w:tc>
        <w:tc>
          <w:tcPr>
            <w:tcW w:type="dxa" w:w="2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85.9</w:t>
            </w:r>
          </w:p>
        </w:tc>
        <w:tc>
          <w:tcPr>
            <w:tcW w:type="dxa" w:w="23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103.5</w:t>
            </w:r>
          </w:p>
        </w:tc>
        <w:tc>
          <w:tcPr>
            <w:tcW w:type="dxa" w:w="23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123.7</w:t>
            </w:r>
          </w:p>
        </w:tc>
      </w:tr>
      <w:tr>
        <w:tc>
          <w:tcPr>
            <w:tcW w:type="dxa" w:w="25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4. Baseline AVF</w:t>
            </w:r>
          </w:p>
        </w:tc>
        <w:tc>
          <w:tcPr>
            <w:tcW w:type="dxa" w:w="2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53.7</w:t>
            </w:r>
          </w:p>
        </w:tc>
        <w:tc>
          <w:tcPr>
            <w:tcW w:type="dxa" w:w="23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60.7</w:t>
            </w:r>
          </w:p>
        </w:tc>
        <w:tc>
          <w:tcPr>
            <w:tcW w:type="dxa" w:w="23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71.2</w:t>
            </w:r>
          </w:p>
        </w:tc>
      </w:tr>
      <w:tr>
        <w:tc>
          <w:tcPr>
            <w:tcW w:type="dxa" w:w="25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5. High-Incentive AVF</w:t>
            </w:r>
          </w:p>
        </w:tc>
        <w:tc>
          <w:tcPr>
            <w:tcW w:type="dxa" w:w="2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61.1</w:t>
            </w:r>
          </w:p>
        </w:tc>
        <w:tc>
          <w:tcPr>
            <w:tcW w:type="dxa" w:w="23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68.5</w:t>
            </w:r>
          </w:p>
        </w:tc>
        <w:tc>
          <w:tcPr>
            <w:tcW w:type="dxa" w:w="23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78.8</w:t>
            </w:r>
          </w:p>
        </w:tc>
      </w:tr>
      <w:tr>
        <w:tc>
          <w:tcPr>
            <w:tcW w:type="dxa" w:w="25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6. Hybrid Reserve AVF</w:t>
            </w:r>
          </w:p>
        </w:tc>
        <w:tc>
          <w:tcPr>
            <w:tcW w:type="dxa" w:w="2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57.3</w:t>
            </w:r>
          </w:p>
        </w:tc>
        <w:tc>
          <w:tcPr>
            <w:tcW w:type="dxa" w:w="23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65.4</w:t>
            </w:r>
          </w:p>
        </w:tc>
        <w:tc>
          <w:tcPr>
            <w:tcW w:type="dxa" w:w="23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76.0</w:t>
            </w:r>
          </w:p>
        </w:tc>
      </w:tr>
    </w:tbl>
    <w:p>
      <w:pPr>
        <w:spacing w:before="200"/>
      </w:pPr>
    </w:p>
    <w:p>
      <w:pPr>
        <w:pStyle w:val="Heading2"/>
        <w:spacing w:before="280" w:after="160"/>
      </w:pPr>
      <w:r>
        <w:rPr>
          <w:rFonts w:ascii="Arial" w:cs="Arial" w:eastAsia="Arial" w:hAnsi="Arial"/>
          <w:b/>
          <w:bCs/>
          <w:color w:val="2E5090"/>
          <w:sz w:val="26"/>
          <w:szCs w:val="26"/>
        </w:rPr>
        <w:t xml:space="preserve">7.4 Interpretation</w:t>
      </w:r>
    </w:p>
    <w:p>
      <w:pPr>
        <w:spacing w:after="160"/>
        <w:jc w:val="both"/>
      </w:pPr>
      <w:r>
        <w:rPr>
          <w:rFonts w:ascii="Arial" w:cs="Arial" w:eastAsia="Arial" w:hAnsi="Arial"/>
          <w:b w:val="false"/>
          <w:bCs w:val="false"/>
          <w:i w:val="false"/>
          <w:iCs w:val="false"/>
          <w:sz w:val="20"/>
          <w:szCs w:val="20"/>
        </w:rPr>
        <w:t xml:space="preserve">The ranking of variants by cost per effective soldier-year is highly robust across all scenarios. The baseline AVF (V4) consistently delivers the lowest cost per ESY, followed closely by the hybrid model (V6). The current conscription model (V1) is always the most expensive per ESY regardless of parameter assumptions. The gap between conscription and AVF variants narrows in the low scenario (where civilian wages are lower, reducing opportunity costs) but remains substantial: even under the most favourable assumptions for conscription, the AVF still costs 25–30% less per effective soldier-year.</w:t>
      </w:r>
    </w:p>
    <w:p>
      <w:pPr>
        <w:spacing w:after="160"/>
        <w:jc w:val="both"/>
      </w:pPr>
      <w:r>
        <w:rPr>
          <w:rFonts w:ascii="Arial" w:cs="Arial" w:eastAsia="Arial" w:hAnsi="Arial"/>
          <w:b w:val="false"/>
          <w:bCs w:val="false"/>
          <w:i w:val="false"/>
          <w:iCs w:val="false"/>
          <w:sz w:val="20"/>
          <w:szCs w:val="20"/>
        </w:rPr>
        <w:t xml:space="preserve">Total fiscal cost, by contrast, always favours conscription variants (V1–V3) over AVF variants (V4–V6). This reflects the fundamental trade-off: conscription is cheap for the government but expensive for society; AVF is expensive for the government but more efficient for society overall.</w:t>
      </w:r>
    </w:p>
    <w:p>
      <w:r>
        <w:br w:type="page"/>
      </w:r>
    </w:p>
    <w:p>
      <w:pPr>
        <w:pStyle w:val="Heading1"/>
        <w:spacing w:before="360" w:after="200"/>
      </w:pPr>
      <w:r>
        <w:rPr>
          <w:rFonts w:ascii="Arial" w:cs="Arial" w:eastAsia="Arial" w:hAnsi="Arial"/>
          <w:b/>
          <w:bCs/>
          <w:color w:val="1A3764"/>
          <w:sz w:val="32"/>
          <w:szCs w:val="32"/>
        </w:rPr>
        <w:t xml:space="preserve">8. Distributional Analysis</w:t>
      </w:r>
    </w:p>
    <w:p>
      <w:pPr>
        <w:pStyle w:val="Heading2"/>
        <w:spacing w:before="280" w:after="160"/>
      </w:pPr>
      <w:r>
        <w:rPr>
          <w:rFonts w:ascii="Arial" w:cs="Arial" w:eastAsia="Arial" w:hAnsi="Arial"/>
          <w:b/>
          <w:bCs/>
          <w:color w:val="2E5090"/>
          <w:sz w:val="26"/>
          <w:szCs w:val="26"/>
        </w:rPr>
        <w:t xml:space="preserve">8.1 The Implicit Tax of Conscription</w:t>
      </w:r>
    </w:p>
    <w:p>
      <w:pPr>
        <w:spacing w:after="160"/>
        <w:jc w:val="both"/>
      </w:pPr>
      <w:r>
        <w:rPr>
          <w:rFonts w:ascii="Arial" w:cs="Arial" w:eastAsia="Arial" w:hAnsi="Arial"/>
          <w:b w:val="false"/>
          <w:bCs w:val="false"/>
          <w:i w:val="false"/>
          <w:iCs w:val="false"/>
          <w:sz w:val="20"/>
          <w:szCs w:val="20"/>
        </w:rPr>
        <w:t xml:space="preserve">Conscription operates as a lump-sum implicit tax on young men. The tax rate can be expressed as:</w:t>
      </w:r>
    </w:p>
    <w:p>
      <w:pPr>
        <w:spacing w:before="80" w:after="80"/>
        <w:ind w:left="720"/>
      </w:pPr>
      <w:r>
        <w:rPr>
          <w:rFonts w:ascii="Consolas" w:cs="Consolas" w:eastAsia="Consolas" w:hAnsi="Consolas"/>
          <w:i/>
          <w:iCs/>
          <w:color w:val="333333"/>
          <w:sz w:val="19"/>
          <w:szCs w:val="19"/>
        </w:rPr>
        <w:t xml:space="preserve">τ_implicit = (w_civilian - w_conscript) / w_civilian</w:t>
      </w:r>
    </w:p>
    <w:p>
      <w:pPr>
        <w:spacing w:after="160"/>
        <w:jc w:val="both"/>
      </w:pPr>
      <w:r>
        <w:rPr>
          <w:rFonts w:ascii="Arial" w:cs="Arial" w:eastAsia="Arial" w:hAnsi="Arial"/>
          <w:b w:val="false"/>
          <w:bCs w:val="false"/>
          <w:i w:val="false"/>
          <w:iCs w:val="false"/>
          <w:sz w:val="20"/>
          <w:szCs w:val="20"/>
        </w:rPr>
        <w:t xml:space="preserve">For the current system: τ = (1,755 - 363) / 1,755 = 79.3%. This means conscripts surrender approximately 79% of their potential earnings during the service period. This implicit tax rate is far higher than any explicit tax rate in the Austrian system.</w:t>
      </w:r>
    </w:p>
    <w:p>
      <w:pPr>
        <w:pStyle w:val="Heading2"/>
        <w:spacing w:before="280" w:after="160"/>
      </w:pPr>
      <w:r>
        <w:rPr>
          <w:rFonts w:ascii="Arial" w:cs="Arial" w:eastAsia="Arial" w:hAnsi="Arial"/>
          <w:b/>
          <w:bCs/>
          <w:color w:val="2E5090"/>
          <w:sz w:val="26"/>
          <w:szCs w:val="26"/>
        </w:rPr>
        <w:t xml:space="preserve">8.2 Burden by Income Group</w:t>
      </w:r>
    </w:p>
    <w:p>
      <w:pPr>
        <w:spacing w:after="160"/>
        <w:jc w:val="both"/>
      </w:pPr>
      <w:r>
        <w:rPr>
          <w:rFonts w:ascii="Arial" w:cs="Arial" w:eastAsia="Arial" w:hAnsi="Arial"/>
          <w:b w:val="false"/>
          <w:bCs w:val="false"/>
          <w:i w:val="false"/>
          <w:iCs w:val="false"/>
          <w:sz w:val="20"/>
          <w:szCs w:val="20"/>
        </w:rPr>
        <w:t xml:space="preserve">The opportunity cost of conscription varies by the conscript’s counterfactual civilian wage, which is correlated with family income and education trajectory. We estimate the distribution of the implicit tax across income quintiles of the conscript cohort: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400"/>
        <w:gridCol w:w="1400"/>
        <w:gridCol w:w="1200"/>
        <w:gridCol w:w="2160"/>
      </w:tblGrid>
      <w:tr>
        <w:tc>
          <w:tcPr>
            <w:tcW w:type="dxa" w:w="18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Income Quintile</w:t>
            </w:r>
          </w:p>
        </w:tc>
        <w:tc>
          <w:tcPr>
            <w:tcW w:type="dxa" w:w="14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Civ. Wage (€/mo)</w:t>
            </w:r>
          </w:p>
        </w:tc>
        <w:tc>
          <w:tcPr>
            <w:tcW w:type="dxa" w:w="14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Opp. Cost (€, 6mo)</w:t>
            </w:r>
          </w:p>
        </w:tc>
        <w:tc>
          <w:tcPr>
            <w:tcW w:type="dxa" w:w="14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 of Annual Inc.</w:t>
            </w:r>
          </w:p>
        </w:tc>
        <w:tc>
          <w:tcPr>
            <w:tcW w:type="dxa" w:w="12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LT Earnings Loss</w:t>
            </w:r>
          </w:p>
        </w:tc>
        <w:tc>
          <w:tcPr>
            <w:tcW w:type="dxa" w:w="21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Nature of Burden</w:t>
            </w:r>
          </w:p>
        </w:tc>
      </w:tr>
      <w:tr>
        <w:tc>
          <w:tcPr>
            <w:tcW w:type="dxa" w:w="18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Q1 (lowest 20%)</w:t>
            </w:r>
          </w:p>
        </w:tc>
        <w:tc>
          <w:tcPr>
            <w:tcW w:type="dxa" w:w="14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1,300</w:t>
            </w:r>
          </w:p>
        </w:tc>
        <w:tc>
          <w:tcPr>
            <w:tcW w:type="dxa" w:w="14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5,622</w:t>
            </w:r>
          </w:p>
        </w:tc>
        <w:tc>
          <w:tcPr>
            <w:tcW w:type="dxa" w:w="14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36%</w:t>
            </w:r>
          </w:p>
        </w:tc>
        <w:tc>
          <w:tcPr>
            <w:tcW w:type="dxa" w:w="1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€580</w:t>
            </w:r>
          </w:p>
        </w:tc>
        <w:tc>
          <w:tcPr>
            <w:tcW w:type="dxa" w:w="21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Often apprentices—lost training</w:t>
            </w:r>
          </w:p>
        </w:tc>
      </w:tr>
      <w:tr>
        <w:tc>
          <w:tcPr>
            <w:tcW w:type="dxa" w:w="18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Q2</w:t>
            </w:r>
          </w:p>
        </w:tc>
        <w:tc>
          <w:tcPr>
            <w:tcW w:type="dxa" w:w="14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1,600</w:t>
            </w:r>
          </w:p>
        </w:tc>
        <w:tc>
          <w:tcPr>
            <w:tcW w:type="dxa" w:w="14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7,422</w:t>
            </w:r>
          </w:p>
        </w:tc>
        <w:tc>
          <w:tcPr>
            <w:tcW w:type="dxa" w:w="14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39%</w:t>
            </w:r>
          </w:p>
        </w:tc>
        <w:tc>
          <w:tcPr>
            <w:tcW w:type="dxa" w:w="1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€720</w:t>
            </w:r>
          </w:p>
        </w:tc>
        <w:tc>
          <w:tcPr>
            <w:tcW w:type="dxa" w:w="21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Early workers in trade</w:t>
            </w:r>
          </w:p>
        </w:tc>
      </w:tr>
      <w:tr>
        <w:tc>
          <w:tcPr>
            <w:tcW w:type="dxa" w:w="18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Q3 (median)</w:t>
            </w:r>
          </w:p>
        </w:tc>
        <w:tc>
          <w:tcPr>
            <w:tcW w:type="dxa" w:w="14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1,950</w:t>
            </w:r>
          </w:p>
        </w:tc>
        <w:tc>
          <w:tcPr>
            <w:tcW w:type="dxa" w:w="14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9,522</w:t>
            </w:r>
          </w:p>
        </w:tc>
        <w:tc>
          <w:tcPr>
            <w:tcW w:type="dxa" w:w="14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41%</w:t>
            </w:r>
          </w:p>
        </w:tc>
        <w:tc>
          <w:tcPr>
            <w:tcW w:type="dxa" w:w="1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€924</w:t>
            </w:r>
          </w:p>
        </w:tc>
        <w:tc>
          <w:tcPr>
            <w:tcW w:type="dxa" w:w="21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Mixed: some uni-bound</w:t>
            </w:r>
          </w:p>
        </w:tc>
      </w:tr>
      <w:tr>
        <w:tc>
          <w:tcPr>
            <w:tcW w:type="dxa" w:w="18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Q4</w:t>
            </w:r>
          </w:p>
        </w:tc>
        <w:tc>
          <w:tcPr>
            <w:tcW w:type="dxa" w:w="14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2,200</w:t>
            </w:r>
          </w:p>
        </w:tc>
        <w:tc>
          <w:tcPr>
            <w:tcW w:type="dxa" w:w="14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11,022</w:t>
            </w:r>
          </w:p>
        </w:tc>
        <w:tc>
          <w:tcPr>
            <w:tcW w:type="dxa" w:w="14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42%</w:t>
            </w:r>
          </w:p>
        </w:tc>
        <w:tc>
          <w:tcPr>
            <w:tcW w:type="dxa" w:w="12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right"/>
            </w:pPr>
            <w:r>
              <w:rPr>
                <w:rFonts w:ascii="Arial" w:cs="Arial" w:eastAsia="Arial" w:hAnsi="Arial"/>
                <w:b w:val="false"/>
                <w:bCs w:val="false"/>
                <w:sz w:val="18"/>
                <w:szCs w:val="18"/>
              </w:rPr>
              <w:t xml:space="preserve">€1,260</w:t>
            </w:r>
          </w:p>
        </w:tc>
        <w:tc>
          <w:tcPr>
            <w:tcW w:type="dxa" w:w="21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val="false"/>
                <w:bCs w:val="false"/>
                <w:sz w:val="18"/>
                <w:szCs w:val="18"/>
              </w:rPr>
              <w:t xml:space="preserve">Mostly uni-bound; delayed</w:t>
            </w:r>
          </w:p>
        </w:tc>
      </w:tr>
      <w:tr>
        <w:tc>
          <w:tcPr>
            <w:tcW w:type="dxa" w:w="18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Q5 (highest 20%)</w:t>
            </w:r>
          </w:p>
        </w:tc>
        <w:tc>
          <w:tcPr>
            <w:tcW w:type="dxa" w:w="14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2,500</w:t>
            </w:r>
          </w:p>
        </w:tc>
        <w:tc>
          <w:tcPr>
            <w:tcW w:type="dxa" w:w="14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12,822</w:t>
            </w:r>
          </w:p>
        </w:tc>
        <w:tc>
          <w:tcPr>
            <w:tcW w:type="dxa" w:w="14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43%</w:t>
            </w:r>
          </w:p>
        </w:tc>
        <w:tc>
          <w:tcPr>
            <w:tcW w:type="dxa" w:w="12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right"/>
            </w:pPr>
            <w:r>
              <w:rPr>
                <w:rFonts w:ascii="Arial" w:cs="Arial" w:eastAsia="Arial" w:hAnsi="Arial"/>
                <w:b w:val="false"/>
                <w:bCs w:val="false"/>
                <w:sz w:val="18"/>
                <w:szCs w:val="18"/>
              </w:rPr>
              <w:t xml:space="preserve">€2,400</w:t>
            </w:r>
          </w:p>
        </w:tc>
        <w:tc>
          <w:tcPr>
            <w:tcW w:type="dxa" w:w="21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val="false"/>
                <w:bCs w:val="false"/>
                <w:sz w:val="18"/>
                <w:szCs w:val="18"/>
              </w:rPr>
              <w:t xml:space="preserve">Uni-bound; highest LT cost</w:t>
            </w:r>
          </w:p>
        </w:tc>
      </w:tr>
    </w:tbl>
    <w:p>
      <w:pPr>
        <w:spacing w:before="200"/>
      </w:pPr>
    </w:p>
    <w:p>
      <w:pPr>
        <w:spacing w:before="200"/>
      </w:pPr>
    </w:p>
    <w:p>
      <w:pPr>
        <w:pStyle w:val="Heading2"/>
        <w:spacing w:before="280" w:after="160"/>
      </w:pPr>
      <w:r>
        <w:rPr>
          <w:rFonts w:ascii="Arial" w:cs="Arial" w:eastAsia="Arial" w:hAnsi="Arial"/>
          <w:b/>
          <w:bCs/>
          <w:color w:val="2E5090"/>
          <w:sz w:val="26"/>
          <w:szCs w:val="26"/>
        </w:rPr>
        <w:t xml:space="preserve">8.3 Distributional Interpretation</w:t>
      </w:r>
    </w:p>
    <w:p>
      <w:pPr>
        <w:spacing w:after="160"/>
        <w:jc w:val="both"/>
      </w:pPr>
      <w:r>
        <w:rPr>
          <w:rFonts w:ascii="Arial" w:cs="Arial" w:eastAsia="Arial" w:hAnsi="Arial"/>
          <w:b w:val="false"/>
          <w:bCs w:val="false"/>
          <w:i w:val="false"/>
          <w:iCs w:val="false"/>
          <w:sz w:val="20"/>
          <w:szCs w:val="20"/>
        </w:rPr>
        <w:t xml:space="preserve">In absolute terms, the opportunity cost rises with income quintile: high-earning conscripts sacrifice more. However, several factors make the system regressive in practice:</w:t>
      </w:r>
    </w:p>
    <w:p>
      <w:pPr>
        <w:spacing w:after="160"/>
        <w:jc w:val="both"/>
      </w:pPr>
      <w:r>
        <w:rPr>
          <w:rFonts w:ascii="Arial" w:cs="Arial" w:eastAsia="Arial" w:hAnsi="Arial"/>
          <w:b/>
          <w:bCs/>
          <w:sz w:val="20"/>
          <w:szCs w:val="20"/>
        </w:rPr>
        <w:t xml:space="preserve">Education deferral advantage: </w:t>
      </w:r>
      <w:r>
        <w:rPr>
          <w:rFonts w:ascii="Arial" w:cs="Arial" w:eastAsia="Arial" w:hAnsi="Arial"/>
          <w:sz w:val="20"/>
          <w:szCs w:val="20"/>
        </w:rPr>
        <w:t xml:space="preserve">University-bound conscripts (disproportionately from higher-income families) often use the conscription period as a “gap semester” before beginning studies. Their long-term earnings loss is modest because they are not yet in the labour force. By contrast, conscripts from Q1–Q2 families are typically already working or in apprenticeships, suffering direct income loss and disrupted vocational training.</w:t>
      </w:r>
    </w:p>
    <w:p>
      <w:pPr>
        <w:spacing w:after="160"/>
        <w:jc w:val="both"/>
      </w:pPr>
      <w:r>
        <w:rPr>
          <w:rFonts w:ascii="Arial" w:cs="Arial" w:eastAsia="Arial" w:hAnsi="Arial"/>
          <w:b/>
          <w:bCs/>
          <w:sz w:val="20"/>
          <w:szCs w:val="20"/>
        </w:rPr>
        <w:t xml:space="preserve">Zivildienst selection: </w:t>
      </w:r>
      <w:r>
        <w:rPr>
          <w:rFonts w:ascii="Arial" w:cs="Arial" w:eastAsia="Arial" w:hAnsi="Arial"/>
          <w:sz w:val="20"/>
          <w:szCs w:val="20"/>
        </w:rPr>
        <w:t xml:space="preserve">About 43% of eligible men choose the 9-month Zivildienst instead. This choice correlates with education level: university-bound men more frequently choose Zivildienst, which provides more flexible scheduling and social-sector experience valued in certain careers. This self-selection further concentrates the military conscription burden on lower-income men.</w:t>
      </w:r>
    </w:p>
    <w:p>
      <w:pPr>
        <w:spacing w:after="160"/>
        <w:jc w:val="both"/>
      </w:pPr>
      <w:r>
        <w:rPr>
          <w:rFonts w:ascii="Arial" w:cs="Arial" w:eastAsia="Arial" w:hAnsi="Arial"/>
          <w:b/>
          <w:bCs/>
          <w:sz w:val="20"/>
          <w:szCs w:val="20"/>
        </w:rPr>
        <w:t xml:space="preserve">Wealth buffering: </w:t>
      </w:r>
      <w:r>
        <w:rPr>
          <w:rFonts w:ascii="Arial" w:cs="Arial" w:eastAsia="Arial" w:hAnsi="Arial"/>
          <w:sz w:val="20"/>
          <w:szCs w:val="20"/>
        </w:rPr>
        <w:t xml:space="preserve">Higher-income families can buffer the financial impact of conscription through family transfers. Lower-income conscripts and their families absorb the full brunt of the €363/month pay.</w:t>
      </w:r>
    </w:p>
    <w:p>
      <w:pPr>
        <w:spacing w:after="160"/>
        <w:jc w:val="both"/>
      </w:pPr>
      <w:r>
        <w:rPr>
          <w:rFonts w:ascii="Arial" w:cs="Arial" w:eastAsia="Arial" w:hAnsi="Arial"/>
          <w:b w:val="false"/>
          <w:bCs w:val="false"/>
          <w:i w:val="false"/>
          <w:iCs w:val="false"/>
          <w:sz w:val="20"/>
          <w:szCs w:val="20"/>
        </w:rPr>
        <w:t xml:space="preserve">Under any AVF variant, the distributional burden shifts entirely to the tax system, which is progressive in Austria (marginal rates of 20–55%). The fiscal cost is spread across all taxpayers proportionally to income, eliminating the regressive implicit tax on young men.</w:t>
      </w:r>
    </w:p>
    <w:p>
      <w:pPr>
        <w:pStyle w:val="Heading2"/>
        <w:spacing w:before="280" w:after="160"/>
      </w:pPr>
      <w:r>
        <w:rPr>
          <w:rFonts w:ascii="Arial" w:cs="Arial" w:eastAsia="Arial" w:hAnsi="Arial"/>
          <w:b/>
          <w:bCs/>
          <w:color w:val="2E5090"/>
          <w:sz w:val="26"/>
          <w:szCs w:val="26"/>
        </w:rPr>
        <w:t xml:space="preserve">8.4 By Education Level</w:t>
      </w:r>
    </w:p>
    <w:p>
      <w:pPr>
        <w:spacing w:after="160"/>
        <w:jc w:val="both"/>
      </w:pPr>
      <w:r>
        <w:rPr>
          <w:rFonts w:ascii="Arial" w:cs="Arial" w:eastAsia="Arial" w:hAnsi="Arial"/>
          <w:b w:val="false"/>
          <w:bCs w:val="false"/>
          <w:i w:val="false"/>
          <w:iCs w:val="false"/>
          <w:sz w:val="20"/>
          <w:szCs w:val="20"/>
        </w:rPr>
        <w:t xml:space="preserve">The long-term earnings effect is most severe for men who would otherwise be entering apprenticeships (Lehrberuf). Austria’s dual vocational training system has rigid age-entry norms; a 6-month delay can cause a conscript to miss a training cohort entirely, resulting in a full year of delay. For university-bound men, the 6-month disruption is less costly because Austrian universities have flexible enrolment. However, the compounding effect of delayed graduation on a steeper earnings trajectory means that Q4–Q5 conscripts bear higher long-term costs in absolute (though not relative) terms.</w:t>
      </w:r>
    </w:p>
    <w:p>
      <w:r>
        <w:br w:type="page"/>
      </w:r>
    </w:p>
    <w:p>
      <w:pPr>
        <w:pStyle w:val="Heading2"/>
        <w:spacing w:before="280" w:after="160"/>
      </w:pPr>
      <w:r>
        <w:rPr>
          <w:rFonts w:ascii="Arial" w:cs="Arial" w:eastAsia="Arial" w:hAnsi="Arial"/>
          <w:b/>
          <w:bCs/>
          <w:color w:val="2E5090"/>
          <w:sz w:val="26"/>
          <w:szCs w:val="26"/>
        </w:rPr>
        <w:t xml:space="preserve">8.3 Distributional Interpretation</w:t>
      </w:r>
    </w:p>
    <w:p>
      <w:pPr>
        <w:spacing w:after="160"/>
        <w:jc w:val="both"/>
      </w:pPr>
      <w:r>
        <w:rPr>
          <w:rFonts w:ascii="Arial" w:cs="Arial" w:eastAsia="Arial" w:hAnsi="Arial"/>
          <w:b w:val="false"/>
          <w:bCs w:val="false"/>
          <w:i w:val="false"/>
          <w:iCs w:val="false"/>
          <w:sz w:val="20"/>
          <w:szCs w:val="20"/>
        </w:rPr>
        <w:t xml:space="preserve">In absolute terms, the opportunity cost rises with income quintile: high-earning conscripts sacrifice more. However, several factors make the system regressive in practice:</w:t>
      </w:r>
    </w:p>
    <w:p>
      <w:pPr>
        <w:spacing w:after="160"/>
        <w:jc w:val="both"/>
      </w:pPr>
      <w:r>
        <w:rPr>
          <w:rFonts w:ascii="Arial" w:cs="Arial" w:eastAsia="Arial" w:hAnsi="Arial"/>
          <w:b/>
          <w:bCs/>
          <w:sz w:val="20"/>
          <w:szCs w:val="20"/>
        </w:rPr>
        <w:t xml:space="preserve">Education deferral advantage: </w:t>
      </w:r>
      <w:r>
        <w:rPr>
          <w:rFonts w:ascii="Arial" w:cs="Arial" w:eastAsia="Arial" w:hAnsi="Arial"/>
          <w:sz w:val="20"/>
          <w:szCs w:val="20"/>
        </w:rPr>
        <w:t xml:space="preserve">University-bound conscripts (disproportionately from higher-income families) often use the conscription period as a gap semester before beginning studies. Their long-term earnings loss is modest because they are not yet in the labour force. By contrast, conscripts from Q1–Q2 families are typically already working or in apprenticeships, suffering direct income loss and disrupted vocational training.</w:t>
      </w:r>
    </w:p>
    <w:p>
      <w:pPr>
        <w:spacing w:after="160"/>
        <w:jc w:val="both"/>
      </w:pPr>
      <w:r>
        <w:rPr>
          <w:rFonts w:ascii="Arial" w:cs="Arial" w:eastAsia="Arial" w:hAnsi="Arial"/>
          <w:b/>
          <w:bCs/>
          <w:sz w:val="20"/>
          <w:szCs w:val="20"/>
        </w:rPr>
        <w:t xml:space="preserve">Zivildienst selection: </w:t>
      </w:r>
      <w:r>
        <w:rPr>
          <w:rFonts w:ascii="Arial" w:cs="Arial" w:eastAsia="Arial" w:hAnsi="Arial"/>
          <w:sz w:val="20"/>
          <w:szCs w:val="20"/>
        </w:rPr>
        <w:t xml:space="preserve">About 43% of eligible men choose the 9-month Zivildienst instead. This choice correlates with education level: university-bound men more frequently choose Zivildienst, which provides more flexible scheduling and social-sector experience valued in certain careers. This self-selection further concentrates the military conscription burden on lower-income men.</w:t>
      </w:r>
    </w:p>
    <w:p>
      <w:pPr>
        <w:spacing w:after="160"/>
        <w:jc w:val="both"/>
      </w:pPr>
      <w:r>
        <w:rPr>
          <w:rFonts w:ascii="Arial" w:cs="Arial" w:eastAsia="Arial" w:hAnsi="Arial"/>
          <w:b/>
          <w:bCs/>
          <w:sz w:val="20"/>
          <w:szCs w:val="20"/>
        </w:rPr>
        <w:t xml:space="preserve">Wealth buffering: </w:t>
      </w:r>
      <w:r>
        <w:rPr>
          <w:rFonts w:ascii="Arial" w:cs="Arial" w:eastAsia="Arial" w:hAnsi="Arial"/>
          <w:sz w:val="20"/>
          <w:szCs w:val="20"/>
        </w:rPr>
        <w:t xml:space="preserve">Higher-income families can buffer the financial impact of conscription through family transfers. Lower-income conscripts and their families absorb the full brunt of the €363/month pay.</w:t>
      </w:r>
    </w:p>
    <w:p>
      <w:pPr>
        <w:spacing w:after="160"/>
        <w:jc w:val="both"/>
      </w:pPr>
      <w:r>
        <w:rPr>
          <w:rFonts w:ascii="Arial" w:cs="Arial" w:eastAsia="Arial" w:hAnsi="Arial"/>
          <w:b w:val="false"/>
          <w:bCs w:val="false"/>
          <w:i w:val="false"/>
          <w:iCs w:val="false"/>
          <w:sz w:val="20"/>
          <w:szCs w:val="20"/>
        </w:rPr>
        <w:t xml:space="preserve">Under any AVF variant, the distributional burden shifts entirely to the tax system, which is progressive in Austria (marginal rates of 20–55%). The fiscal cost is spread across all taxpayers proportionally to income, eliminating the regressive implicit tax on young men.</w:t>
      </w:r>
    </w:p>
    <w:p>
      <w:pPr>
        <w:pStyle w:val="Heading2"/>
        <w:spacing w:before="280" w:after="160"/>
      </w:pPr>
      <w:r>
        <w:rPr>
          <w:rFonts w:ascii="Arial" w:cs="Arial" w:eastAsia="Arial" w:hAnsi="Arial"/>
          <w:b/>
          <w:bCs/>
          <w:color w:val="2E5090"/>
          <w:sz w:val="26"/>
          <w:szCs w:val="26"/>
        </w:rPr>
        <w:t xml:space="preserve">8.4 By Education Level</w:t>
      </w:r>
    </w:p>
    <w:p>
      <w:pPr>
        <w:spacing w:after="160"/>
        <w:jc w:val="both"/>
      </w:pPr>
      <w:r>
        <w:rPr>
          <w:rFonts w:ascii="Arial" w:cs="Arial" w:eastAsia="Arial" w:hAnsi="Arial"/>
          <w:b w:val="false"/>
          <w:bCs w:val="false"/>
          <w:i w:val="false"/>
          <w:iCs w:val="false"/>
          <w:sz w:val="20"/>
          <w:szCs w:val="20"/>
        </w:rPr>
        <w:t xml:space="preserve">The long-term earnings effect is most severe for men who would otherwise be entering apprenticeships (Lehrberuf). Austria’s dual vocational training system has rigid age-entry norms; a 6-month delay can cause a conscript to miss a training cohort entirely, resulting in a full year of delay. For university-bound men, the 6-month disruption is less costly because Austrian universities have flexible enrolment. However, the compounding effect of delayed graduation on a steeper earnings trajectory means that Q4–Q5 conscripts bear higher long-term costs in absolute (though not relative) terms.</w:t>
      </w:r>
    </w:p>
    <w:p>
      <w:r>
        <w:br w:type="page"/>
      </w:r>
    </w:p>
    <w:p>
      <w:pPr>
        <w:pStyle w:val="Heading1"/>
        <w:spacing w:before="360" w:after="200"/>
      </w:pPr>
      <w:r>
        <w:rPr>
          <w:rFonts w:ascii="Arial" w:cs="Arial" w:eastAsia="Arial" w:hAnsi="Arial"/>
          <w:b/>
          <w:bCs/>
          <w:color w:val="1A3764"/>
          <w:sz w:val="32"/>
          <w:szCs w:val="32"/>
        </w:rPr>
        <w:t xml:space="preserve">9. Comparative Summary</w:t>
      </w:r>
    </w:p>
    <w:p>
      <w:pPr>
        <w:pStyle w:val="Heading2"/>
        <w:spacing w:before="280" w:after="160"/>
      </w:pPr>
      <w:r>
        <w:rPr>
          <w:rFonts w:ascii="Arial" w:cs="Arial" w:eastAsia="Arial" w:hAnsi="Arial"/>
          <w:b/>
          <w:bCs/>
          <w:color w:val="2E5090"/>
          <w:sz w:val="26"/>
          <w:szCs w:val="26"/>
        </w:rPr>
        <w:t xml:space="preserve">9.1 Multi-Criteria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60"/>
        <w:gridCol w:w="1260"/>
        <w:gridCol w:w="1260"/>
        <w:gridCol w:w="1260"/>
        <w:gridCol w:w="1260"/>
        <w:gridCol w:w="1260"/>
      </w:tblGrid>
      <w:tr>
        <w:tc>
          <w:tcPr>
            <w:tcW w:type="dxa" w:w="180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Criterion</w:t>
            </w:r>
          </w:p>
        </w:tc>
        <w:tc>
          <w:tcPr>
            <w:tcW w:type="dxa" w:w="12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V1 Curr.</w:t>
            </w:r>
          </w:p>
        </w:tc>
        <w:tc>
          <w:tcPr>
            <w:tcW w:type="dxa" w:w="12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V2 Ext.</w:t>
            </w:r>
          </w:p>
        </w:tc>
        <w:tc>
          <w:tcPr>
            <w:tcW w:type="dxa" w:w="12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V3 Hi-Pay</w:t>
            </w:r>
          </w:p>
        </w:tc>
        <w:tc>
          <w:tcPr>
            <w:tcW w:type="dxa" w:w="12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V4 AVF</w:t>
            </w:r>
          </w:p>
        </w:tc>
        <w:tc>
          <w:tcPr>
            <w:tcW w:type="dxa" w:w="12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V5 Hi-AVF</w:t>
            </w:r>
          </w:p>
        </w:tc>
        <w:tc>
          <w:tcPr>
            <w:tcW w:type="dxa" w:w="1260"/>
            <w:tcBorders>
              <w:top w:val="single" w:color="2E5090" w:sz="2"/>
              <w:left w:val="single" w:color="2E5090" w:sz="2"/>
              <w:bottom w:val="single" w:color="2E5090" w:sz="2"/>
              <w:right w:val="single" w:color="2E5090" w:sz="2"/>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V6 Hybrid</w:t>
            </w:r>
          </w:p>
        </w:tc>
      </w:tr>
      <w:tr>
        <w:tc>
          <w:tcPr>
            <w:tcW w:type="dxa" w:w="18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TSC (€M/yr)</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497</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689</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507</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971</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1,097</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762</w:t>
            </w:r>
          </w:p>
        </w:tc>
      </w:tr>
      <w:tr>
        <w:tc>
          <w:tcPr>
            <w:tcW w:type="dxa" w:w="18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Fiscal cost (€M/yr)</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218</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290</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292</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826</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972</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646</w:t>
            </w:r>
          </w:p>
        </w:tc>
      </w:tr>
      <w:tr>
        <w:tc>
          <w:tcPr>
            <w:tcW w:type="dxa" w:w="18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Cost/ESY (€k)</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101.5</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80.4</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103.5</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60.7</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68.5</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65.4</w:t>
            </w:r>
          </w:p>
        </w:tc>
      </w:tr>
      <w:tr>
        <w:tc>
          <w:tcPr>
            <w:tcW w:type="dxa" w:w="18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Effective soldiers</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4,900</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8,575</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4,900</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16,000</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16,000</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11,644</w:t>
            </w:r>
          </w:p>
        </w:tc>
      </w:tr>
      <w:tr>
        <w:tc>
          <w:tcPr>
            <w:tcW w:type="dxa" w:w="18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Mobilisation cap.</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55,000</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55,000</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55,000</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16,000</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16,000</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30,000</w:t>
            </w:r>
          </w:p>
        </w:tc>
      </w:tr>
      <w:tr>
        <w:tc>
          <w:tcPr>
            <w:tcW w:type="dxa" w:w="18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Equity (distribution)</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Regressive</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V. Regress.</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Mod. Regr.</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Progressive</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Progressive</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Progressive</w:t>
            </w:r>
          </w:p>
        </w:tc>
      </w:tr>
      <w:tr>
        <w:tc>
          <w:tcPr>
            <w:tcW w:type="dxa" w:w="180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left"/>
            </w:pPr>
            <w:r>
              <w:rPr>
                <w:rFonts w:ascii="Arial" w:cs="Arial" w:eastAsia="Arial" w:hAnsi="Arial"/>
                <w:b/>
                <w:bCs/>
                <w:sz w:val="18"/>
                <w:szCs w:val="18"/>
              </w:rPr>
              <w:t xml:space="preserve">Recruit quality</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Low</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Low-Med</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Low</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Medium</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High</w:t>
            </w:r>
          </w:p>
        </w:tc>
        <w:tc>
          <w:tcPr>
            <w:tcW w:type="dxa" w:w="1260"/>
            <w:tcBorders>
              <w:top w:val="single" w:color="CCCCCC" w:sz="1"/>
              <w:left w:val="single" w:color="CCCCCC" w:sz="1"/>
              <w:bottom w:val="single" w:color="CCCCCC" w:sz="1"/>
              <w:right w:val="single" w:color="CCCCCC" w:sz="1"/>
            </w:tcBorders>
            <w:tcMar>
              <w:top w:type="dxa" w:w="50"/>
              <w:left w:type="dxa" w:w="100"/>
              <w:bottom w:type="dxa" w:w="50"/>
              <w:right w:type="dxa" w:w="100"/>
            </w:tcMar>
          </w:tcPr>
          <w:p>
            <w:pPr>
              <w:jc w:val="center"/>
            </w:pPr>
            <w:r>
              <w:rPr>
                <w:rFonts w:ascii="Arial" w:cs="Arial" w:eastAsia="Arial" w:hAnsi="Arial"/>
                <w:b w:val="false"/>
                <w:bCs w:val="false"/>
                <w:sz w:val="18"/>
                <w:szCs w:val="18"/>
              </w:rPr>
              <w:t xml:space="preserve">Med-High</w:t>
            </w:r>
          </w:p>
        </w:tc>
      </w:tr>
      <w:tr>
        <w:tc>
          <w:tcPr>
            <w:tcW w:type="dxa" w:w="180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left"/>
            </w:pPr>
            <w:r>
              <w:rPr>
                <w:rFonts w:ascii="Arial" w:cs="Arial" w:eastAsia="Arial" w:hAnsi="Arial"/>
                <w:b/>
                <w:bCs/>
                <w:sz w:val="18"/>
                <w:szCs w:val="18"/>
              </w:rPr>
              <w:t xml:space="preserve">Transition risk</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None</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Low</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Low</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High</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Med-High</w:t>
            </w:r>
          </w:p>
        </w:tc>
        <w:tc>
          <w:tcPr>
            <w:tcW w:type="dxa" w:w="1260"/>
            <w:tcBorders>
              <w:top w:val="single" w:color="CCCCCC" w:sz="1"/>
              <w:left w:val="single" w:color="CCCCCC" w:sz="1"/>
              <w:bottom w:val="single" w:color="CCCCCC" w:sz="1"/>
              <w:right w:val="single" w:color="CCCCCC" w:sz="1"/>
            </w:tcBorders>
            <w:shd w:fill="F0F4F8" w:val="clear"/>
            <w:tcMar>
              <w:top w:type="dxa" w:w="50"/>
              <w:left w:type="dxa" w:w="100"/>
              <w:bottom w:type="dxa" w:w="50"/>
              <w:right w:type="dxa" w:w="100"/>
            </w:tcMar>
          </w:tcPr>
          <w:p>
            <w:pPr>
              <w:jc w:val="center"/>
            </w:pPr>
            <w:r>
              <w:rPr>
                <w:rFonts w:ascii="Arial" w:cs="Arial" w:eastAsia="Arial" w:hAnsi="Arial"/>
                <w:b w:val="false"/>
                <w:bCs w:val="false"/>
                <w:sz w:val="18"/>
                <w:szCs w:val="18"/>
              </w:rPr>
              <w:t xml:space="preserve">Medium</w:t>
            </w:r>
          </w:p>
        </w:tc>
      </w:tr>
    </w:tbl>
    <w:p>
      <w:pPr>
        <w:spacing w:before="200"/>
      </w:pPr>
    </w:p>
    <w:p>
      <w:pPr>
        <w:pStyle w:val="Heading2"/>
        <w:spacing w:before="280" w:after="160"/>
      </w:pPr>
      <w:r>
        <w:rPr>
          <w:rFonts w:ascii="Arial" w:cs="Arial" w:eastAsia="Arial" w:hAnsi="Arial"/>
          <w:b/>
          <w:bCs/>
          <w:color w:val="2E5090"/>
          <w:sz w:val="26"/>
          <w:szCs w:val="26"/>
        </w:rPr>
        <w:t xml:space="preserve">9.2 Efficiency Frontier</w:t>
      </w:r>
    </w:p>
    <w:p>
      <w:pPr>
        <w:spacing w:after="160"/>
        <w:jc w:val="both"/>
      </w:pPr>
      <w:r>
        <w:rPr>
          <w:rFonts w:ascii="Arial" w:cs="Arial" w:eastAsia="Arial" w:hAnsi="Arial"/>
          <w:b w:val="false"/>
          <w:bCs w:val="false"/>
          <w:i w:val="false"/>
          <w:iCs w:val="false"/>
          <w:sz w:val="20"/>
          <w:szCs w:val="20"/>
        </w:rPr>
        <w:t xml:space="preserve">Plotting total social cost against effective military capability, the conscription variants (V1–V3) cluster in the high-cost-per-unit, low-capability quadrant, while the AVF variants (V4–V6) occupy the lower-cost-per-unit, high-capability region. The hybrid model (V6) represents the best efficiency frontier position: it achieves moderate total fiscal cost, low cost per effective soldier-year, substantial mobilisation capacity, and progressive distributional characteristics.</w:t>
      </w:r>
    </w:p>
    <w:p>
      <w:pPr>
        <w:spacing w:after="160"/>
        <w:jc w:val="both"/>
      </w:pPr>
      <w:r>
        <w:rPr>
          <w:rFonts w:ascii="Arial" w:cs="Arial" w:eastAsia="Arial" w:hAnsi="Arial"/>
          <w:b w:val="false"/>
          <w:bCs w:val="false"/>
          <w:i w:val="false"/>
          <w:iCs w:val="false"/>
          <w:sz w:val="20"/>
          <w:szCs w:val="20"/>
        </w:rPr>
        <w:t xml:space="preserve">The only metric on which conscription dominates is mobilisation capacity—the ability to rapidly field a large number of troops. However, the quality-adjusted mobilisation capacity of V6’s well-trained 30,000 may exceed V1’s nominally larger but poorly-trained 55,000.</w:t>
      </w:r>
    </w:p>
    <w:p>
      <w:r>
        <w:br w:type="page"/>
      </w:r>
    </w:p>
    <w:p>
      <w:pPr>
        <w:pStyle w:val="Heading1"/>
        <w:spacing w:before="360" w:after="200"/>
      </w:pPr>
      <w:r>
        <w:rPr>
          <w:rFonts w:ascii="Arial" w:cs="Arial" w:eastAsia="Arial" w:hAnsi="Arial"/>
          <w:b/>
          <w:bCs/>
          <w:color w:val="1A3764"/>
          <w:sz w:val="32"/>
          <w:szCs w:val="32"/>
        </w:rPr>
        <w:t xml:space="preserve">10. Policy Interpretation and Recommendations</w:t>
      </w:r>
    </w:p>
    <w:p>
      <w:pPr>
        <w:pStyle w:val="Heading2"/>
        <w:spacing w:before="280" w:after="160"/>
      </w:pPr>
      <w:r>
        <w:rPr>
          <w:rFonts w:ascii="Arial" w:cs="Arial" w:eastAsia="Arial" w:hAnsi="Arial"/>
          <w:b/>
          <w:bCs/>
          <w:color w:val="2E5090"/>
          <w:sz w:val="26"/>
          <w:szCs w:val="26"/>
        </w:rPr>
        <w:t xml:space="preserve">10.1 Which System Minimises Total Social Cost?</w:t>
      </w:r>
    </w:p>
    <w:p>
      <w:pPr>
        <w:spacing w:after="160"/>
        <w:jc w:val="both"/>
      </w:pPr>
      <w:r>
        <w:rPr>
          <w:rFonts w:ascii="Arial" w:cs="Arial" w:eastAsia="Arial" w:hAnsi="Arial"/>
          <w:b w:val="false"/>
          <w:bCs w:val="false"/>
          <w:i w:val="false"/>
          <w:iCs w:val="false"/>
          <w:sz w:val="20"/>
          <w:szCs w:val="20"/>
        </w:rPr>
        <w:t xml:space="preserve">Measured by total social cost per effective soldier-year—the appropriate efficiency metric—the baseline market-wage AVF (V4) achieves the lowest cost across all scenarios. However, the hybrid reserve-heavy AVF (V6) is recommended as the optimal policy choice because it combines low cost per ESY with a credible mobilisation reserve, addressing Austria’s legitimate national defence requirements as a neutral state without alliance guarantees.</w:t>
      </w:r>
    </w:p>
    <w:p>
      <w:pPr>
        <w:pStyle w:val="Heading2"/>
        <w:spacing w:before="280" w:after="160"/>
      </w:pPr>
      <w:r>
        <w:rPr>
          <w:rFonts w:ascii="Arial" w:cs="Arial" w:eastAsia="Arial" w:hAnsi="Arial"/>
          <w:b/>
          <w:bCs/>
          <w:color w:val="2E5090"/>
          <w:sz w:val="26"/>
          <w:szCs w:val="26"/>
        </w:rPr>
        <w:t xml:space="preserve">10.2 Political Economy Constraints</w:t>
      </w:r>
    </w:p>
    <w:p>
      <w:pPr>
        <w:spacing w:after="160"/>
        <w:jc w:val="both"/>
      </w:pPr>
      <w:r>
        <w:rPr>
          <w:rFonts w:ascii="Arial" w:cs="Arial" w:eastAsia="Arial" w:hAnsi="Arial"/>
          <w:b w:val="false"/>
          <w:bCs w:val="false"/>
          <w:i w:val="false"/>
          <w:iCs w:val="false"/>
          <w:sz w:val="20"/>
          <w:szCs w:val="20"/>
        </w:rPr>
        <w:t xml:space="preserve">The 2013 referendum result (60% in favour of retaining conscription) reflects strong public attachment to the institution for reasons beyond economic efficiency: civic participation, social cohesion, intergenerational tradition, and the critical role conscripts play in staffing the Zivildienst system that underpins Austria’s healthcare and social services. Any transition must address the Zivildienst gap—approximately 14,000 alternative service workers annually who would disappear under a pure AVF. The hybrid model partially addresses this by reducing (but not eliminating) conscription’s scope.</w:t>
      </w:r>
    </w:p>
    <w:p>
      <w:pPr>
        <w:pStyle w:val="Heading2"/>
        <w:spacing w:before="280" w:after="160"/>
      </w:pPr>
      <w:r>
        <w:rPr>
          <w:rFonts w:ascii="Arial" w:cs="Arial" w:eastAsia="Arial" w:hAnsi="Arial"/>
          <w:b/>
          <w:bCs/>
          <w:color w:val="2E5090"/>
          <w:sz w:val="26"/>
          <w:szCs w:val="26"/>
        </w:rPr>
        <w:t xml:space="preserve">10.3 Bundesheer 2032+ Implications</w:t>
      </w:r>
    </w:p>
    <w:p>
      <w:pPr>
        <w:spacing w:after="160"/>
        <w:jc w:val="both"/>
      </w:pPr>
      <w:r>
        <w:rPr>
          <w:rFonts w:ascii="Arial" w:cs="Arial" w:eastAsia="Arial" w:hAnsi="Arial"/>
          <w:b w:val="false"/>
          <w:bCs w:val="false"/>
          <w:i w:val="false"/>
          <w:iCs w:val="false"/>
          <w:sz w:val="20"/>
          <w:szCs w:val="20"/>
        </w:rPr>
        <w:t xml:space="preserve">Austria’s commitment to increase defence spending to 2% of GDP by 2032 (from ~1% today) implies a defence budget of approximately €10 billion. Even the most expensive variant (V5 at €1.1B for personnel) represents only 11% of the projected budget, leaving ample room for equipment modernisation. The choice of recruitment system has modest implications for the total budget but enormous implications for how costs are distributed between taxpayers and young men.</w:t>
      </w:r>
    </w:p>
    <w:p>
      <w:pPr>
        <w:pStyle w:val="Heading2"/>
        <w:spacing w:before="280" w:after="160"/>
      </w:pPr>
      <w:r>
        <w:rPr>
          <w:rFonts w:ascii="Arial" w:cs="Arial" w:eastAsia="Arial" w:hAnsi="Arial"/>
          <w:b/>
          <w:bCs/>
          <w:color w:val="2E5090"/>
          <w:sz w:val="26"/>
          <w:szCs w:val="26"/>
        </w:rPr>
        <w:t xml:space="preserve">10.4 Recommended Phased Transition</w:t>
      </w:r>
    </w:p>
    <w:p>
      <w:pPr>
        <w:spacing w:after="160"/>
        <w:jc w:val="both"/>
      </w:pPr>
      <w:r>
        <w:rPr>
          <w:rFonts w:ascii="Arial" w:cs="Arial" w:eastAsia="Arial" w:hAnsi="Arial"/>
          <w:b/>
          <w:bCs/>
          <w:sz w:val="20"/>
          <w:szCs w:val="20"/>
        </w:rPr>
        <w:t xml:space="preserve">Phase 1 (Years 1–3): </w:t>
      </w:r>
      <w:r>
        <w:rPr>
          <w:rFonts w:ascii="Arial" w:cs="Arial" w:eastAsia="Arial" w:hAnsi="Arial"/>
          <w:sz w:val="20"/>
          <w:szCs w:val="20"/>
        </w:rPr>
        <w:t xml:space="preserve">Increase conscript pay to €800–1,200/month (reducing the implicit tax). Begin building professional recruitment infrastructure. Establish a voluntary reserve program with competitive compensation.</w:t>
      </w:r>
    </w:p>
    <w:p>
      <w:pPr>
        <w:spacing w:after="160"/>
        <w:jc w:val="both"/>
      </w:pPr>
      <w:r>
        <w:rPr>
          <w:rFonts w:ascii="Arial" w:cs="Arial" w:eastAsia="Arial" w:hAnsi="Arial"/>
          <w:b/>
          <w:bCs/>
          <w:sz w:val="20"/>
          <w:szCs w:val="20"/>
        </w:rPr>
        <w:t xml:space="preserve">Phase 2 (Years 3–6): </w:t>
      </w:r>
      <w:r>
        <w:rPr>
          <w:rFonts w:ascii="Arial" w:cs="Arial" w:eastAsia="Arial" w:hAnsi="Arial"/>
          <w:sz w:val="20"/>
          <w:szCs w:val="20"/>
        </w:rPr>
        <w:t xml:space="preserve">Reduce conscription to 3–4 months (basic training only). Expand the professional core to 12,000. Build reserve force to 15,000. Introduce a civilian national service option to replace Zivildienst.</w:t>
      </w:r>
    </w:p>
    <w:p>
      <w:pPr>
        <w:spacing w:after="160"/>
        <w:jc w:val="both"/>
      </w:pPr>
      <w:r>
        <w:rPr>
          <w:rFonts w:ascii="Arial" w:cs="Arial" w:eastAsia="Arial" w:hAnsi="Arial"/>
          <w:b/>
          <w:bCs/>
          <w:sz w:val="20"/>
          <w:szCs w:val="20"/>
        </w:rPr>
        <w:t xml:space="preserve">Phase 3 (Years 6–10): </w:t>
      </w:r>
      <w:r>
        <w:rPr>
          <w:rFonts w:ascii="Arial" w:cs="Arial" w:eastAsia="Arial" w:hAnsi="Arial"/>
          <w:sz w:val="20"/>
          <w:szCs w:val="20"/>
        </w:rPr>
        <w:t xml:space="preserve">Optionally phase out conscription entirely if the professional and reserve forces meet capability requirements. Maintain a voluntary short-term service option for civic engagement. Target end state: 10,000–12,000 active professionals + 20,000 reserves.</w:t>
      </w:r>
    </w:p>
    <w:p>
      <w:pPr>
        <w:pStyle w:val="Heading2"/>
        <w:spacing w:before="280" w:after="160"/>
      </w:pPr>
      <w:r>
        <w:rPr>
          <w:rFonts w:ascii="Arial" w:cs="Arial" w:eastAsia="Arial" w:hAnsi="Arial"/>
          <w:b/>
          <w:bCs/>
          <w:color w:val="2E5090"/>
          <w:sz w:val="26"/>
          <w:szCs w:val="26"/>
        </w:rPr>
        <w:t xml:space="preserve">10.5 Caveats and Limitations</w:t>
      </w:r>
    </w:p>
    <w:p>
      <w:pPr>
        <w:spacing w:after="160"/>
        <w:jc w:val="both"/>
      </w:pPr>
      <w:r>
        <w:rPr>
          <w:rFonts w:ascii="Arial" w:cs="Arial" w:eastAsia="Arial" w:hAnsi="Arial"/>
          <w:b w:val="false"/>
          <w:bCs w:val="false"/>
          <w:i w:val="false"/>
          <w:iCs w:val="false"/>
          <w:sz w:val="20"/>
          <w:szCs w:val="20"/>
        </w:rPr>
        <w:t xml:space="preserve">This analysis necessarily involves significant assumptions, particularly around counterfactual civilian wages of conscripts, the Mincerian returns to experience in the Austrian context, and the wage premium required to attract sufficient AVF volunteers. The sensitivity analysis demonstrates that our ranking conclusions are robust to wide parameter ranges, but the absolute cost figures should be treated as informed estimates rather than precise forecasts. Additionally, non-economic factors—national identity, civic engagement, social cohesion, the Zivildienst system—carry substantial weight in Austrian public discourse and cannot be captured in a cost-minimisation framework.</w:t>
      </w:r>
    </w:p>
    <w:p>
      <w:r>
        <w:br w:type="page"/>
      </w:r>
    </w:p>
    <w:p>
      <w:pPr>
        <w:pStyle w:val="Heading1"/>
        <w:spacing w:before="360" w:after="200"/>
      </w:pPr>
      <w:r>
        <w:rPr>
          <w:rFonts w:ascii="Arial" w:cs="Arial" w:eastAsia="Arial" w:hAnsi="Arial"/>
          <w:b/>
          <w:bCs/>
          <w:color w:val="1A3764"/>
          <w:sz w:val="32"/>
          <w:szCs w:val="32"/>
        </w:rPr>
        <w:t xml:space="preserve">Appendix A: Parameter Sources and Derivations</w:t>
      </w:r>
    </w:p>
    <w:p>
      <w:pPr>
        <w:pStyle w:val="Heading2"/>
        <w:spacing w:before="280" w:after="160"/>
      </w:pPr>
      <w:r>
        <w:rPr>
          <w:rFonts w:ascii="Arial" w:cs="Arial" w:eastAsia="Arial" w:hAnsi="Arial"/>
          <w:b/>
          <w:bCs/>
          <w:color w:val="2E5090"/>
          <w:sz w:val="26"/>
          <w:szCs w:val="26"/>
        </w:rPr>
        <w:t xml:space="preserve">A.1 Civilian Wage Estimation</w:t>
      </w:r>
    </w:p>
    <w:p>
      <w:pPr>
        <w:spacing w:after="160"/>
        <w:jc w:val="both"/>
      </w:pPr>
      <w:r>
        <w:rPr>
          <w:rFonts w:ascii="Arial" w:cs="Arial" w:eastAsia="Arial" w:hAnsi="Arial"/>
          <w:b w:val="false"/>
          <w:bCs w:val="false"/>
          <w:i w:val="false"/>
          <w:iCs w:val="false"/>
          <w:sz w:val="20"/>
          <w:szCs w:val="20"/>
        </w:rPr>
        <w:t xml:space="preserve">The entry-level wage range of €1,700–€2,200/month is derived from Austrian collective bargaining agreements (Kollektivverträge) for sectors employing young workers: logistics (€2,055–€2,143), hospitality (€2,025–€2,070), and retail (€1,700–€1,900). The midpoint of €1,950 is used as the baseline, adjusted downward by 10% for youth unemployment probability to yield €1,755 expected earnings.</w:t>
      </w:r>
    </w:p>
    <w:p>
      <w:pPr>
        <w:pStyle w:val="Heading2"/>
        <w:spacing w:before="280" w:after="160"/>
      </w:pPr>
      <w:r>
        <w:rPr>
          <w:rFonts w:ascii="Arial" w:cs="Arial" w:eastAsia="Arial" w:hAnsi="Arial"/>
          <w:b/>
          <w:bCs/>
          <w:color w:val="2E5090"/>
          <w:sz w:val="26"/>
          <w:szCs w:val="26"/>
        </w:rPr>
        <w:t xml:space="preserve">A.2 Mincerian Returns</w:t>
      </w:r>
    </w:p>
    <w:p>
      <w:pPr>
        <w:spacing w:after="160"/>
        <w:jc w:val="both"/>
      </w:pPr>
      <w:r>
        <w:rPr>
          <w:rFonts w:ascii="Arial" w:cs="Arial" w:eastAsia="Arial" w:hAnsi="Arial"/>
          <w:b w:val="false"/>
          <w:bCs w:val="false"/>
          <w:i w:val="false"/>
          <w:iCs w:val="false"/>
          <w:sz w:val="20"/>
          <w:szCs w:val="20"/>
        </w:rPr>
        <w:t xml:space="preserve">The 4% per year return to experience is drawn from European labour economics literature. Austrian-specific estimates from Zweymüller &amp; Winter-Ebmer (various) suggest returns in the 3–5% range for young workers. We use 4% as the central estimate and test 2.5% and 5.5% in sensitivity analysis.</w:t>
      </w:r>
    </w:p>
    <w:p>
      <w:pPr>
        <w:pStyle w:val="Heading2"/>
        <w:spacing w:before="280" w:after="160"/>
      </w:pPr>
      <w:r>
        <w:rPr>
          <w:rFonts w:ascii="Arial" w:cs="Arial" w:eastAsia="Arial" w:hAnsi="Arial"/>
          <w:b/>
          <w:bCs/>
          <w:color w:val="2E5090"/>
          <w:sz w:val="26"/>
          <w:szCs w:val="26"/>
        </w:rPr>
        <w:t xml:space="preserve">A.3 Discount Rate</w:t>
      </w:r>
    </w:p>
    <w:p>
      <w:pPr>
        <w:spacing w:after="160"/>
        <w:jc w:val="both"/>
      </w:pPr>
      <w:r>
        <w:rPr>
          <w:rFonts w:ascii="Arial" w:cs="Arial" w:eastAsia="Arial" w:hAnsi="Arial"/>
          <w:b w:val="false"/>
          <w:bCs w:val="false"/>
          <w:i w:val="false"/>
          <w:iCs w:val="false"/>
          <w:sz w:val="20"/>
          <w:szCs w:val="20"/>
        </w:rPr>
        <w:t xml:space="preserve">We use a 3% real discount rate, consistent with European Commission and OECD guidelines for public policy evaluation. The Austrian government 10-year bond yield was approximately 2.5–3.0% in 2024, and long-run inflation expectations centre around 2%, supporting a real rate of 1–3%. We choose 3% to be conservative (a higher discount rate reduces the present value of long-term costs, which would favour conscription).</w:t>
      </w:r>
    </w:p>
    <w:p>
      <w:pPr>
        <w:pStyle w:val="Heading2"/>
        <w:spacing w:before="280" w:after="160"/>
      </w:pPr>
      <w:r>
        <w:rPr>
          <w:rFonts w:ascii="Arial" w:cs="Arial" w:eastAsia="Arial" w:hAnsi="Arial"/>
          <w:b/>
          <w:bCs/>
          <w:color w:val="2E5090"/>
          <w:sz w:val="26"/>
          <w:szCs w:val="26"/>
        </w:rPr>
        <w:t xml:space="preserve">A.4 AVF Wage Calibration</w:t>
      </w:r>
    </w:p>
    <w:p>
      <w:pPr>
        <w:spacing w:after="160"/>
        <w:jc w:val="both"/>
      </w:pPr>
      <w:r>
        <w:rPr>
          <w:rFonts w:ascii="Arial" w:cs="Arial" w:eastAsia="Arial" w:hAnsi="Arial"/>
          <w:b w:val="false"/>
          <w:bCs w:val="false"/>
          <w:i w:val="false"/>
          <w:iCs w:val="false"/>
          <w:sz w:val="20"/>
          <w:szCs w:val="20"/>
        </w:rPr>
        <w:t xml:space="preserve">The €2,500/month baseline AVF wage is calibrated to be approximately 15–20% above the entry-level civilian wage, consistent with the compensating differential literature for military service in comparable European countries. The German Bundeswehr pays OR-1 enlisted soldiers approximately €2,100–€2,400/month; adjusting for Austria’s slightly higher cost of living yields €2,300–€2,600. We also note that current Austrian professional soldiers earn an average of approximately €55,000/year (€4,600/month) across all ranks, confirming that our entry-level estimate is conservative.</w:t>
      </w:r>
    </w:p>
    <w:p>
      <w:pPr>
        <w:pStyle w:val="Heading2"/>
        <w:spacing w:before="280" w:after="160"/>
      </w:pPr>
      <w:r>
        <w:rPr>
          <w:rFonts w:ascii="Arial" w:cs="Arial" w:eastAsia="Arial" w:hAnsi="Arial"/>
          <w:b/>
          <w:bCs/>
          <w:color w:val="2E5090"/>
          <w:sz w:val="26"/>
          <w:szCs w:val="26"/>
        </w:rPr>
        <w:t xml:space="preserve">A.5 Overhead Costs</w:t>
      </w:r>
    </w:p>
    <w:p>
      <w:pPr>
        <w:spacing w:after="160"/>
        <w:jc w:val="both"/>
      </w:pPr>
      <w:r>
        <w:rPr>
          <w:rFonts w:ascii="Arial" w:cs="Arial" w:eastAsia="Arial" w:hAnsi="Arial"/>
          <w:b w:val="false"/>
          <w:bCs w:val="false"/>
          <w:i w:val="false"/>
          <w:iCs w:val="false"/>
          <w:sz w:val="20"/>
          <w:szCs w:val="20"/>
        </w:rPr>
        <w:t xml:space="preserve">The €1,200/month conscript overhead is estimated from the ratio of total Bundesheer non-personnel expenditure to troop strength. With a €4.74 billion budget and approximately 30,000 full-time-equivalent personnel (16,000 professionals + ~7,500 effective conscripts at any time), per-capita annual spending is roughly €158,000, of which approximately 40–50% is personnel cost, leaving €79,000–95,000 for overhead, equipment, and infrastructure per FTE. Conscripts use less equipment than professionals, so we estimate €1,200/month (€14,400/year) versus €1,800/month (€21,600/year) for professionals.</w:t>
      </w:r>
    </w:p>
    <w:sectPr>
      <w:headerReference w:type="default" r:id="rId6"/>
      <w:footerReference w:type="default" r:id="rId7"/>
      <w:pgSz w:w="11906" w:h="16838" w:orient="portrait"/>
      <w:pgMar w:top="1200" w:right="120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Austria Military Recruitment – Economic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3764"/>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2E509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2026-02-13T14:25:10.959Z</dcterms:created>
  <dcterms:modified xsi:type="dcterms:W3CDTF">2026-02-13T14:25:10.960Z</dcterms:modified>
</cp:coreProperties>
</file>

<file path=docProps/custom.xml><?xml version="1.0" encoding="utf-8"?>
<Properties xmlns="http://schemas.openxmlformats.org/officeDocument/2006/custom-properties" xmlns:vt="http://schemas.openxmlformats.org/officeDocument/2006/docPropsVTypes"/>
</file>